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D1CBF" w14:textId="6CD7AF80" w:rsidR="00867AC7" w:rsidRPr="00B97B47" w:rsidRDefault="00E97CA5" w:rsidP="00B97B47">
      <w:pPr>
        <w:spacing w:after="0" w:line="240" w:lineRule="auto"/>
        <w:jc w:val="center"/>
        <w:rPr>
          <w:rFonts w:ascii="Arial" w:hAnsi="Arial" w:cs="Arial"/>
          <w:b/>
          <w:bCs/>
          <w:shd w:val="clear" w:color="auto" w:fill="FFFFFF"/>
        </w:rPr>
      </w:pPr>
      <w:r w:rsidRPr="00B97B47">
        <w:rPr>
          <w:rFonts w:ascii="Arial" w:hAnsi="Arial" w:cs="Arial"/>
          <w:b/>
          <w:bCs/>
          <w:shd w:val="clear" w:color="auto" w:fill="FFFFFF"/>
        </w:rPr>
        <w:t>REQUISITOS HABILITANTES DIFERENCIALES</w:t>
      </w:r>
      <w:r w:rsidR="00B97B47" w:rsidRPr="00B97B47">
        <w:rPr>
          <w:rFonts w:ascii="Arial" w:hAnsi="Arial" w:cs="Arial"/>
          <w:b/>
          <w:bCs/>
          <w:shd w:val="clear" w:color="auto" w:fill="FFFFFF"/>
        </w:rPr>
        <w:t xml:space="preserve"> </w:t>
      </w:r>
      <w:r w:rsidR="00B97B47" w:rsidRPr="00B97B47">
        <w:rPr>
          <w:rFonts w:ascii="Arial" w:hAnsi="Arial" w:cs="Arial"/>
          <w:b/>
          <w:bCs/>
          <w:shd w:val="clear" w:color="auto" w:fill="FFFFFF"/>
          <w:lang w:val="es-ES"/>
        </w:rPr>
        <w:t>(</w:t>
      </w:r>
      <w:r w:rsidR="00B97B47" w:rsidRPr="00B97B47">
        <w:rPr>
          <w:rFonts w:ascii="Arial" w:hAnsi="Arial" w:cs="Arial"/>
          <w:b/>
          <w:bCs/>
          <w:shd w:val="clear" w:color="auto" w:fill="FFFFFF"/>
        </w:rPr>
        <w:t>capacidad financiera y organizacional)</w:t>
      </w:r>
    </w:p>
    <w:p w14:paraId="77EB9ABC" w14:textId="77777777" w:rsidR="00FC2A97" w:rsidRPr="00B97B47" w:rsidRDefault="00FC2A97" w:rsidP="00B97B47">
      <w:pPr>
        <w:spacing w:after="0" w:line="240" w:lineRule="auto"/>
        <w:rPr>
          <w:rFonts w:ascii="Arial" w:hAnsi="Arial" w:cs="Arial"/>
          <w:shd w:val="clear" w:color="auto" w:fill="FFFFFF"/>
        </w:rPr>
      </w:pPr>
    </w:p>
    <w:p w14:paraId="6DDB78BC" w14:textId="14AE334F" w:rsidR="00B97B47" w:rsidRPr="00B97B47" w:rsidRDefault="00B97B47" w:rsidP="00B97B47">
      <w:pPr>
        <w:shd w:val="clear" w:color="auto" w:fill="FFFFFF"/>
        <w:spacing w:after="0" w:line="240" w:lineRule="auto"/>
        <w:jc w:val="both"/>
        <w:rPr>
          <w:rFonts w:ascii="Arial" w:eastAsia="Times New Roman" w:hAnsi="Arial" w:cs="Arial"/>
          <w:color w:val="333333"/>
          <w:kern w:val="0"/>
          <w:lang w:eastAsia="es-CO"/>
          <w14:ligatures w14:val="none"/>
        </w:rPr>
      </w:pPr>
      <w:r w:rsidRPr="00B97B47">
        <w:rPr>
          <w:rFonts w:ascii="Arial" w:eastAsia="Times New Roman" w:hAnsi="Arial" w:cs="Arial"/>
          <w:color w:val="333333"/>
          <w:kern w:val="0"/>
          <w:lang w:eastAsia="es-CO"/>
          <w14:ligatures w14:val="none"/>
        </w:rPr>
        <w:t>Los criterios diferenciales para los </w:t>
      </w:r>
      <w:r w:rsidRPr="00B97B47">
        <w:rPr>
          <w:rFonts w:ascii="Arial" w:eastAsia="Times New Roman" w:hAnsi="Arial" w:cs="Arial"/>
          <w:i/>
          <w:iCs/>
          <w:color w:val="333333"/>
          <w:kern w:val="0"/>
          <w:lang w:eastAsia="es-CO"/>
          <w14:ligatures w14:val="none"/>
        </w:rPr>
        <w:t>«emprendimientos y empresas de mujeres</w:t>
      </w:r>
      <w:bookmarkStart w:id="0" w:name="_Hlk119572831"/>
      <w:r w:rsidRPr="00B97B47">
        <w:rPr>
          <w:rFonts w:ascii="Arial" w:eastAsia="Times New Roman" w:hAnsi="Arial" w:cs="Arial"/>
          <w:i/>
          <w:iCs/>
          <w:color w:val="0000FF"/>
          <w:kern w:val="0"/>
          <w:lang w:eastAsia="es-CO"/>
          <w14:ligatures w14:val="none"/>
        </w:rPr>
        <w:t>»</w:t>
      </w:r>
      <w:bookmarkEnd w:id="0"/>
      <w:r w:rsidRPr="00B97B47">
        <w:rPr>
          <w:rFonts w:ascii="Arial" w:eastAsia="Times New Roman" w:hAnsi="Arial" w:cs="Arial"/>
          <w:color w:val="333333"/>
          <w:kern w:val="0"/>
          <w:lang w:eastAsia="es-CO"/>
          <w14:ligatures w14:val="none"/>
        </w:rPr>
        <w:t> en el sistema de compras y contratación pública incluyen tanto los «</w:t>
      </w:r>
      <w:r w:rsidRPr="00B97B47">
        <w:rPr>
          <w:rFonts w:ascii="Arial" w:eastAsia="Times New Roman" w:hAnsi="Arial" w:cs="Arial"/>
          <w:i/>
          <w:iCs/>
          <w:color w:val="333333"/>
          <w:kern w:val="0"/>
          <w:lang w:eastAsia="es-CO"/>
          <w14:ligatures w14:val="none"/>
        </w:rPr>
        <w:t>requisitos diferenciales</w:t>
      </w:r>
      <w:r w:rsidRPr="00B97B47">
        <w:rPr>
          <w:rFonts w:ascii="Arial" w:eastAsia="Times New Roman" w:hAnsi="Arial" w:cs="Arial"/>
          <w:color w:val="333333"/>
          <w:kern w:val="0"/>
          <w:lang w:eastAsia="es-CO"/>
          <w14:ligatures w14:val="none"/>
        </w:rPr>
        <w:t>» como los «</w:t>
      </w:r>
      <w:r w:rsidRPr="00B97B47">
        <w:rPr>
          <w:rFonts w:ascii="Arial" w:eastAsia="Times New Roman" w:hAnsi="Arial" w:cs="Arial"/>
          <w:i/>
          <w:iCs/>
          <w:color w:val="333333"/>
          <w:kern w:val="0"/>
          <w:lang w:eastAsia="es-CO"/>
          <w14:ligatures w14:val="none"/>
        </w:rPr>
        <w:t>puntajes adicionales</w:t>
      </w:r>
      <w:r w:rsidRPr="00B97B47">
        <w:rPr>
          <w:rFonts w:ascii="Arial" w:eastAsia="Times New Roman" w:hAnsi="Arial" w:cs="Arial"/>
          <w:color w:val="333333"/>
          <w:kern w:val="0"/>
          <w:lang w:eastAsia="es-CO"/>
          <w14:ligatures w14:val="none"/>
        </w:rPr>
        <w:t>» y aplican, sin distinciones ulteriores, a todos los procedimientos que realicen las entidades estatales incluidas y excluidas de la Ley </w:t>
      </w:r>
      <w:hyperlink r:id="rId4" w:anchor="0" w:history="1">
        <w:r w:rsidRPr="00B97B47">
          <w:rPr>
            <w:rFonts w:ascii="Arial" w:eastAsia="Times New Roman" w:hAnsi="Arial" w:cs="Arial"/>
            <w:color w:val="0000FF"/>
            <w:kern w:val="0"/>
            <w:u w:val="single"/>
            <w:lang w:eastAsia="es-CO"/>
            <w14:ligatures w14:val="none"/>
          </w:rPr>
          <w:t>80</w:t>
        </w:r>
      </w:hyperlink>
      <w:r w:rsidRPr="00B97B47">
        <w:rPr>
          <w:rFonts w:ascii="Arial" w:eastAsia="Times New Roman" w:hAnsi="Arial" w:cs="Arial"/>
          <w:color w:val="333333"/>
          <w:kern w:val="0"/>
          <w:lang w:eastAsia="es-CO"/>
          <w14:ligatures w14:val="none"/>
        </w:rPr>
        <w:t> de 1993.</w:t>
      </w:r>
    </w:p>
    <w:p w14:paraId="17B3C1BB" w14:textId="77777777" w:rsidR="00B97B47" w:rsidRPr="00B97B47" w:rsidRDefault="00B97B47" w:rsidP="00B97B47">
      <w:pPr>
        <w:shd w:val="clear" w:color="auto" w:fill="FFFFFF"/>
        <w:spacing w:after="0" w:line="240" w:lineRule="auto"/>
        <w:jc w:val="both"/>
        <w:rPr>
          <w:rFonts w:ascii="Arial" w:eastAsia="Times New Roman" w:hAnsi="Arial" w:cs="Arial"/>
          <w:color w:val="333333"/>
          <w:kern w:val="0"/>
          <w:lang w:eastAsia="es-CO"/>
          <w14:ligatures w14:val="none"/>
        </w:rPr>
      </w:pPr>
      <w:r w:rsidRPr="00B97B47">
        <w:rPr>
          <w:rFonts w:ascii="Arial" w:eastAsia="Times New Roman" w:hAnsi="Arial" w:cs="Arial"/>
          <w:color w:val="333333"/>
          <w:kern w:val="0"/>
          <w:lang w:eastAsia="es-CO"/>
          <w14:ligatures w14:val="none"/>
        </w:rPr>
        <w:t>    </w:t>
      </w:r>
    </w:p>
    <w:p w14:paraId="661BD91B" w14:textId="77777777" w:rsidR="00B97B47" w:rsidRPr="00B97B47" w:rsidRDefault="00B97B47" w:rsidP="00B97B47">
      <w:pPr>
        <w:shd w:val="clear" w:color="auto" w:fill="FFFFFF"/>
        <w:spacing w:after="0" w:line="240" w:lineRule="auto"/>
        <w:jc w:val="both"/>
        <w:rPr>
          <w:rFonts w:ascii="Arial" w:eastAsia="Times New Roman" w:hAnsi="Arial" w:cs="Arial"/>
          <w:color w:val="333333"/>
          <w:kern w:val="0"/>
          <w:lang w:eastAsia="es-CO"/>
          <w14:ligatures w14:val="none"/>
        </w:rPr>
      </w:pPr>
      <w:r w:rsidRPr="00B97B47">
        <w:rPr>
          <w:rFonts w:ascii="Arial" w:eastAsia="Times New Roman" w:hAnsi="Arial" w:cs="Arial"/>
          <w:color w:val="333333"/>
          <w:kern w:val="0"/>
          <w:lang w:val="es-ES" w:eastAsia="es-CO"/>
          <w14:ligatures w14:val="none"/>
        </w:rPr>
        <w:t>Frente a los </w:t>
      </w:r>
      <w:r w:rsidRPr="00B97B47">
        <w:rPr>
          <w:rFonts w:ascii="Arial" w:eastAsia="Times New Roman" w:hAnsi="Arial" w:cs="Arial"/>
          <w:i/>
          <w:iCs/>
          <w:color w:val="333333"/>
          <w:kern w:val="0"/>
          <w:lang w:val="es-ES" w:eastAsia="es-CO"/>
          <w14:ligatures w14:val="none"/>
        </w:rPr>
        <w:t>requisitos habilitantes,</w:t>
      </w:r>
      <w:r w:rsidRPr="00B97B47">
        <w:rPr>
          <w:rFonts w:ascii="Arial" w:eastAsia="Times New Roman" w:hAnsi="Arial" w:cs="Arial"/>
          <w:color w:val="333333"/>
          <w:kern w:val="0"/>
          <w:lang w:val="es-ES" w:eastAsia="es-CO"/>
          <w14:ligatures w14:val="none"/>
        </w:rPr>
        <w:t> se definen como aquellas exigencias de participación en los procedimientos de selección, establecidas ya sea (i) en disposiciones normativas, bien sean de carácter legal o reglamentario-; o (</w:t>
      </w:r>
      <w:proofErr w:type="spellStart"/>
      <w:r w:rsidRPr="00B97B47">
        <w:rPr>
          <w:rFonts w:ascii="Arial" w:eastAsia="Times New Roman" w:hAnsi="Arial" w:cs="Arial"/>
          <w:color w:val="333333"/>
          <w:kern w:val="0"/>
          <w:lang w:val="es-ES" w:eastAsia="es-CO"/>
          <w14:ligatures w14:val="none"/>
        </w:rPr>
        <w:t>ii</w:t>
      </w:r>
      <w:proofErr w:type="spellEnd"/>
      <w:r w:rsidRPr="00B97B47">
        <w:rPr>
          <w:rFonts w:ascii="Arial" w:eastAsia="Times New Roman" w:hAnsi="Arial" w:cs="Arial"/>
          <w:color w:val="333333"/>
          <w:kern w:val="0"/>
          <w:lang w:val="es-ES" w:eastAsia="es-CO"/>
          <w14:ligatures w14:val="none"/>
        </w:rPr>
        <w:t>) en el acto administrativo que regula las reglas de la convocatoria, es decir, en el pliego de condiciones o el documento equivalente a este. Constituyen los requerimientos mínimos con los que deben cumplir los proponentes para poder participar en el procedimiento de selección, razón por la cual los mismos no se valoran con un puntaje tendiente a determinar el orden de escogencia, sino que se analizan como criterios previos a la evaluación en sentido estricto. Quienes no los reúnan no pueden continuar en el procedimiento de selección y, por ende, incurren en causal de rechazo. Esto sin perjuicio del derecho que tienen los oferentes de subsanar los defectos que se presenten en la prueba de tales requisitos, de conformidad con el artículo 5, parágrafos </w:t>
      </w:r>
      <w:hyperlink r:id="rId5" w:anchor="5.p.1" w:history="1">
        <w:r w:rsidRPr="00B97B47">
          <w:rPr>
            <w:rFonts w:ascii="Arial" w:eastAsia="Times New Roman" w:hAnsi="Arial" w:cs="Arial"/>
            <w:color w:val="0000FF"/>
            <w:kern w:val="0"/>
            <w:u w:val="single"/>
            <w:lang w:val="es-ES" w:eastAsia="es-CO"/>
            <w14:ligatures w14:val="none"/>
          </w:rPr>
          <w:t>1º</w:t>
        </w:r>
      </w:hyperlink>
      <w:r w:rsidRPr="00B97B47">
        <w:rPr>
          <w:rFonts w:ascii="Arial" w:eastAsia="Times New Roman" w:hAnsi="Arial" w:cs="Arial"/>
          <w:color w:val="333333"/>
          <w:kern w:val="0"/>
          <w:lang w:val="es-ES" w:eastAsia="es-CO"/>
          <w14:ligatures w14:val="none"/>
        </w:rPr>
        <w:t> al </w:t>
      </w:r>
      <w:hyperlink r:id="rId6" w:anchor="5.p.4" w:history="1">
        <w:r w:rsidRPr="00B97B47">
          <w:rPr>
            <w:rFonts w:ascii="Arial" w:eastAsia="Times New Roman" w:hAnsi="Arial" w:cs="Arial"/>
            <w:color w:val="0000FF"/>
            <w:kern w:val="0"/>
            <w:u w:val="single"/>
            <w:lang w:val="es-ES" w:eastAsia="es-CO"/>
            <w14:ligatures w14:val="none"/>
          </w:rPr>
          <w:t>4º</w:t>
        </w:r>
      </w:hyperlink>
      <w:r w:rsidRPr="00B97B47">
        <w:rPr>
          <w:rFonts w:ascii="Arial" w:eastAsia="Times New Roman" w:hAnsi="Arial" w:cs="Arial"/>
          <w:color w:val="333333"/>
          <w:kern w:val="0"/>
          <w:lang w:val="es-ES" w:eastAsia="es-CO"/>
          <w14:ligatures w14:val="none"/>
        </w:rPr>
        <w:t>, de la Ley 1150 de 2007.</w:t>
      </w:r>
      <w:r w:rsidRPr="00B97B47">
        <w:rPr>
          <w:rFonts w:ascii="Arial" w:eastAsia="Times New Roman" w:hAnsi="Arial" w:cs="Arial"/>
          <w:color w:val="333333"/>
          <w:kern w:val="0"/>
          <w:lang w:eastAsia="es-CO"/>
          <w14:ligatures w14:val="none"/>
        </w:rPr>
        <w:t> </w:t>
      </w:r>
    </w:p>
    <w:p w14:paraId="5564C729" w14:textId="77777777" w:rsidR="00B97B47" w:rsidRPr="00B97B47" w:rsidRDefault="00B97B47" w:rsidP="00B97B47">
      <w:pPr>
        <w:shd w:val="clear" w:color="auto" w:fill="FFFFFF"/>
        <w:spacing w:after="0" w:line="240" w:lineRule="auto"/>
        <w:jc w:val="both"/>
        <w:rPr>
          <w:rFonts w:ascii="Arial" w:eastAsia="Times New Roman" w:hAnsi="Arial" w:cs="Arial"/>
          <w:color w:val="333333"/>
          <w:kern w:val="0"/>
          <w:lang w:eastAsia="es-CO"/>
          <w14:ligatures w14:val="none"/>
        </w:rPr>
      </w:pPr>
      <w:r w:rsidRPr="00B97B47">
        <w:rPr>
          <w:rFonts w:ascii="Arial" w:eastAsia="Times New Roman" w:hAnsi="Arial" w:cs="Arial"/>
          <w:color w:val="333333"/>
          <w:kern w:val="0"/>
          <w:shd w:val="clear" w:color="auto" w:fill="FFFFFF"/>
          <w:lang w:eastAsia="es-CO"/>
          <w14:ligatures w14:val="none"/>
        </w:rPr>
        <w:t>      </w:t>
      </w:r>
    </w:p>
    <w:p w14:paraId="16394E62" w14:textId="77777777" w:rsidR="00B97B47" w:rsidRPr="00B97B47" w:rsidRDefault="00B97B47" w:rsidP="00B97B47">
      <w:pPr>
        <w:shd w:val="clear" w:color="auto" w:fill="FFFFFF"/>
        <w:spacing w:after="0" w:line="240" w:lineRule="auto"/>
        <w:jc w:val="both"/>
        <w:rPr>
          <w:rFonts w:ascii="Arial" w:eastAsia="Times New Roman" w:hAnsi="Arial" w:cs="Arial"/>
          <w:color w:val="333333"/>
          <w:kern w:val="0"/>
          <w:lang w:eastAsia="es-CO"/>
          <w14:ligatures w14:val="none"/>
        </w:rPr>
      </w:pPr>
      <w:r w:rsidRPr="00B97B47">
        <w:rPr>
          <w:rFonts w:ascii="Arial" w:eastAsia="Times New Roman" w:hAnsi="Arial" w:cs="Arial"/>
          <w:color w:val="333333"/>
          <w:kern w:val="0"/>
          <w:shd w:val="clear" w:color="auto" w:fill="FFFFFF"/>
          <w:lang w:val="es-ES" w:eastAsia="es-CO"/>
          <w14:ligatures w14:val="none"/>
        </w:rPr>
        <w:t>En ese sentido, si bien la Ley 1</w:t>
      </w:r>
      <w:hyperlink r:id="rId7" w:anchor="0" w:history="1">
        <w:r w:rsidRPr="00B97B47">
          <w:rPr>
            <w:rFonts w:ascii="Arial" w:eastAsia="Times New Roman" w:hAnsi="Arial" w:cs="Arial"/>
            <w:color w:val="0000FF"/>
            <w:kern w:val="0"/>
            <w:u w:val="single"/>
            <w:shd w:val="clear" w:color="auto" w:fill="FFFFFF"/>
            <w:lang w:val="es-ES" w:eastAsia="es-CO"/>
            <w14:ligatures w14:val="none"/>
          </w:rPr>
          <w:t>150</w:t>
        </w:r>
      </w:hyperlink>
      <w:r w:rsidRPr="00B97B47">
        <w:rPr>
          <w:rFonts w:ascii="Arial" w:eastAsia="Times New Roman" w:hAnsi="Arial" w:cs="Arial"/>
          <w:color w:val="333333"/>
          <w:kern w:val="0"/>
          <w:shd w:val="clear" w:color="auto" w:fill="FFFFFF"/>
          <w:lang w:val="es-ES" w:eastAsia="es-CO"/>
          <w14:ligatures w14:val="none"/>
        </w:rPr>
        <w:t> de 2007 estableció unos requisitos habilitantes para los proponentes –la capacidad jurídica, las condiciones de experiencia, la capacidad financiera y la capacidad de organización–, estos no son taxativos. Corresponde a las entidades estatales, durante la etapa de planeación del contrato estatal, estudiar y determinar los requisitos habilitantes que establecerán en los pliegos de condiciones, los cuales deben fijarse de forma adecuada y proporcional</w:t>
      </w:r>
      <w:bookmarkStart w:id="1" w:name="_ftnref13"/>
      <w:r w:rsidRPr="00B97B47">
        <w:rPr>
          <w:rFonts w:ascii="Arial" w:eastAsia="Times New Roman" w:hAnsi="Arial" w:cs="Arial"/>
          <w:color w:val="333333"/>
          <w:kern w:val="0"/>
          <w:lang w:eastAsia="es-CO"/>
          <w14:ligatures w14:val="none"/>
        </w:rPr>
        <w:fldChar w:fldCharType="begin"/>
      </w:r>
      <w:r w:rsidRPr="00B97B47">
        <w:rPr>
          <w:rFonts w:ascii="Arial" w:eastAsia="Times New Roman" w:hAnsi="Arial" w:cs="Arial"/>
          <w:color w:val="333333"/>
          <w:kern w:val="0"/>
          <w:lang w:eastAsia="es-CO"/>
          <w14:ligatures w14:val="none"/>
        </w:rPr>
        <w:instrText>HYPERLINK "https://www.alcaldiabogota.gov.co/sisjur/normas/Norma1.jsp?i=130039&amp;dt=S" \l "_ftn13" \o ""</w:instrText>
      </w:r>
      <w:r w:rsidRPr="00B97B47">
        <w:rPr>
          <w:rFonts w:ascii="Arial" w:eastAsia="Times New Roman" w:hAnsi="Arial" w:cs="Arial"/>
          <w:color w:val="333333"/>
          <w:kern w:val="0"/>
          <w:lang w:eastAsia="es-CO"/>
          <w14:ligatures w14:val="none"/>
        </w:rPr>
      </w:r>
      <w:r w:rsidRPr="00B97B47">
        <w:rPr>
          <w:rFonts w:ascii="Arial" w:eastAsia="Times New Roman" w:hAnsi="Arial" w:cs="Arial"/>
          <w:color w:val="333333"/>
          <w:kern w:val="0"/>
          <w:lang w:eastAsia="es-CO"/>
          <w14:ligatures w14:val="none"/>
        </w:rPr>
        <w:fldChar w:fldCharType="separate"/>
      </w:r>
      <w:r w:rsidRPr="00B97B47">
        <w:rPr>
          <w:rFonts w:ascii="Arial" w:eastAsia="Times New Roman" w:hAnsi="Arial" w:cs="Arial"/>
          <w:color w:val="0000FF"/>
          <w:kern w:val="0"/>
          <w:u w:val="single"/>
          <w:vertAlign w:val="superscript"/>
          <w:lang w:eastAsia="es-CO"/>
          <w14:ligatures w14:val="none"/>
        </w:rPr>
        <w:t>[13]</w:t>
      </w:r>
      <w:r w:rsidRPr="00B97B47">
        <w:rPr>
          <w:rFonts w:ascii="Arial" w:eastAsia="Times New Roman" w:hAnsi="Arial" w:cs="Arial"/>
          <w:color w:val="333333"/>
          <w:kern w:val="0"/>
          <w:lang w:eastAsia="es-CO"/>
          <w14:ligatures w14:val="none"/>
        </w:rPr>
        <w:fldChar w:fldCharType="end"/>
      </w:r>
      <w:bookmarkEnd w:id="1"/>
      <w:r w:rsidRPr="00B97B47">
        <w:rPr>
          <w:rFonts w:ascii="Arial" w:eastAsia="Times New Roman" w:hAnsi="Arial" w:cs="Arial"/>
          <w:color w:val="333333"/>
          <w:kern w:val="0"/>
          <w:shd w:val="clear" w:color="auto" w:fill="FFFFFF"/>
          <w:lang w:val="es-ES" w:eastAsia="es-CO"/>
          <w14:ligatures w14:val="none"/>
        </w:rPr>
        <w:t>.</w:t>
      </w:r>
      <w:r w:rsidRPr="00B97B47">
        <w:rPr>
          <w:rFonts w:ascii="Arial" w:eastAsia="Times New Roman" w:hAnsi="Arial" w:cs="Arial"/>
          <w:color w:val="333333"/>
          <w:kern w:val="0"/>
          <w:shd w:val="clear" w:color="auto" w:fill="FFFFFF"/>
          <w:lang w:eastAsia="es-CO"/>
          <w14:ligatures w14:val="none"/>
        </w:rPr>
        <w:t> </w:t>
      </w:r>
    </w:p>
    <w:p w14:paraId="2F80BAF4" w14:textId="77777777" w:rsidR="00B97B47" w:rsidRPr="00B97B47" w:rsidRDefault="00B97B47" w:rsidP="00B97B47">
      <w:pPr>
        <w:shd w:val="clear" w:color="auto" w:fill="FFFFFF"/>
        <w:spacing w:after="0" w:line="240" w:lineRule="auto"/>
        <w:jc w:val="both"/>
        <w:rPr>
          <w:rFonts w:ascii="Arial" w:eastAsia="Times New Roman" w:hAnsi="Arial" w:cs="Arial"/>
          <w:color w:val="333333"/>
          <w:kern w:val="0"/>
          <w:lang w:eastAsia="es-CO"/>
          <w14:ligatures w14:val="none"/>
        </w:rPr>
      </w:pPr>
      <w:r w:rsidRPr="00B97B47">
        <w:rPr>
          <w:rFonts w:ascii="Arial" w:eastAsia="Times New Roman" w:hAnsi="Arial" w:cs="Arial"/>
          <w:color w:val="333333"/>
          <w:kern w:val="0"/>
          <w:shd w:val="clear" w:color="auto" w:fill="FFFFFF"/>
          <w:lang w:eastAsia="es-CO"/>
          <w14:ligatures w14:val="none"/>
        </w:rPr>
        <w:t> </w:t>
      </w:r>
    </w:p>
    <w:p w14:paraId="7890E2B4" w14:textId="77777777" w:rsidR="00B97B47" w:rsidRPr="00B97B47" w:rsidRDefault="00B97B47" w:rsidP="00B97B47">
      <w:pPr>
        <w:shd w:val="clear" w:color="auto" w:fill="FFFFFF"/>
        <w:spacing w:after="0" w:line="240" w:lineRule="auto"/>
        <w:jc w:val="both"/>
        <w:rPr>
          <w:rFonts w:ascii="Arial" w:eastAsia="Times New Roman" w:hAnsi="Arial" w:cs="Arial"/>
          <w:color w:val="333333"/>
          <w:kern w:val="0"/>
          <w:lang w:eastAsia="es-CO"/>
          <w14:ligatures w14:val="none"/>
        </w:rPr>
      </w:pPr>
      <w:r w:rsidRPr="00B97B47">
        <w:rPr>
          <w:rFonts w:ascii="Arial" w:eastAsia="Times New Roman" w:hAnsi="Arial" w:cs="Arial"/>
          <w:color w:val="333333"/>
          <w:kern w:val="0"/>
          <w:shd w:val="clear" w:color="auto" w:fill="FFFFFF"/>
          <w:lang w:val="es-ES" w:eastAsia="es-CO"/>
          <w14:ligatures w14:val="none"/>
        </w:rPr>
        <w:t>El Decreto 1082 de 2015 en su artículo </w:t>
      </w:r>
      <w:hyperlink r:id="rId8" w:anchor="2.2.1.1.1.6.2" w:history="1">
        <w:r w:rsidRPr="00B97B47">
          <w:rPr>
            <w:rFonts w:ascii="Arial" w:eastAsia="Times New Roman" w:hAnsi="Arial" w:cs="Arial"/>
            <w:color w:val="0000FF"/>
            <w:kern w:val="0"/>
            <w:u w:val="single"/>
            <w:shd w:val="clear" w:color="auto" w:fill="FFFFFF"/>
            <w:lang w:val="es-ES" w:eastAsia="es-CO"/>
            <w14:ligatures w14:val="none"/>
          </w:rPr>
          <w:t>2.2.1.1.1.6.2</w:t>
        </w:r>
      </w:hyperlink>
      <w:r w:rsidRPr="00B97B47">
        <w:rPr>
          <w:rFonts w:ascii="Arial" w:eastAsia="Times New Roman" w:hAnsi="Arial" w:cs="Arial"/>
          <w:color w:val="333333"/>
          <w:kern w:val="0"/>
          <w:shd w:val="clear" w:color="auto" w:fill="FFFFFF"/>
          <w:lang w:val="es-ES" w:eastAsia="es-CO"/>
          <w14:ligatures w14:val="none"/>
        </w:rPr>
        <w:t> reglamenta los requisitos habilitantes, estableciendo que estos deben ser señalados en los pliegos de condiciones o en la invitación</w:t>
      </w:r>
      <w:bookmarkStart w:id="2" w:name="_ftnref14"/>
      <w:r w:rsidRPr="00B97B47">
        <w:rPr>
          <w:rFonts w:ascii="Arial" w:eastAsia="Times New Roman" w:hAnsi="Arial" w:cs="Arial"/>
          <w:color w:val="333333"/>
          <w:kern w:val="0"/>
          <w:lang w:eastAsia="es-CO"/>
          <w14:ligatures w14:val="none"/>
        </w:rPr>
        <w:fldChar w:fldCharType="begin"/>
      </w:r>
      <w:r w:rsidRPr="00B97B47">
        <w:rPr>
          <w:rFonts w:ascii="Arial" w:eastAsia="Times New Roman" w:hAnsi="Arial" w:cs="Arial"/>
          <w:color w:val="333333"/>
          <w:kern w:val="0"/>
          <w:lang w:eastAsia="es-CO"/>
          <w14:ligatures w14:val="none"/>
        </w:rPr>
        <w:instrText>HYPERLINK "https://www.alcaldiabogota.gov.co/sisjur/normas/Norma1.jsp?i=130039&amp;dt=S" \l "_ftn14" \o ""</w:instrText>
      </w:r>
      <w:r w:rsidRPr="00B97B47">
        <w:rPr>
          <w:rFonts w:ascii="Arial" w:eastAsia="Times New Roman" w:hAnsi="Arial" w:cs="Arial"/>
          <w:color w:val="333333"/>
          <w:kern w:val="0"/>
          <w:lang w:eastAsia="es-CO"/>
          <w14:ligatures w14:val="none"/>
        </w:rPr>
      </w:r>
      <w:r w:rsidRPr="00B97B47">
        <w:rPr>
          <w:rFonts w:ascii="Arial" w:eastAsia="Times New Roman" w:hAnsi="Arial" w:cs="Arial"/>
          <w:color w:val="333333"/>
          <w:kern w:val="0"/>
          <w:lang w:eastAsia="es-CO"/>
          <w14:ligatures w14:val="none"/>
        </w:rPr>
        <w:fldChar w:fldCharType="separate"/>
      </w:r>
      <w:r w:rsidRPr="00B97B47">
        <w:rPr>
          <w:rFonts w:ascii="Arial" w:eastAsia="Times New Roman" w:hAnsi="Arial" w:cs="Arial"/>
          <w:color w:val="0000FF"/>
          <w:kern w:val="0"/>
          <w:u w:val="single"/>
          <w:vertAlign w:val="superscript"/>
          <w:lang w:eastAsia="es-CO"/>
          <w14:ligatures w14:val="none"/>
        </w:rPr>
        <w:t>[14]</w:t>
      </w:r>
      <w:r w:rsidRPr="00B97B47">
        <w:rPr>
          <w:rFonts w:ascii="Arial" w:eastAsia="Times New Roman" w:hAnsi="Arial" w:cs="Arial"/>
          <w:color w:val="333333"/>
          <w:kern w:val="0"/>
          <w:lang w:eastAsia="es-CO"/>
          <w14:ligatures w14:val="none"/>
        </w:rPr>
        <w:fldChar w:fldCharType="end"/>
      </w:r>
      <w:bookmarkEnd w:id="2"/>
      <w:r w:rsidRPr="00B97B47">
        <w:rPr>
          <w:rFonts w:ascii="Arial" w:eastAsia="Times New Roman" w:hAnsi="Arial" w:cs="Arial"/>
          <w:color w:val="333333"/>
          <w:kern w:val="0"/>
          <w:shd w:val="clear" w:color="auto" w:fill="FFFFFF"/>
          <w:lang w:val="es-ES" w:eastAsia="es-CO"/>
          <w14:ligatures w14:val="none"/>
        </w:rPr>
        <w:t>, y que la determinación de estos debe ser realizada en función de criterios como el riesgo del Proceso de Contratación, el valor del contrato, el análisis del sector económico respectivo y el conocimiento de fondo de los posibles oferentes desde la perspectiva comercial. En ese sentido, las entidades estatales son autónomas para definir los requisitos habilitantes, pero tal facultad debe ser ejercida procurando diseñar condiciones habilitantes de manera objetiva, de suerte que estas sirvan para determinar si los participantes del Proceso de Contratación cuentan con las capacidades que los hacen aptos para ejecutar el objeto contractual.</w:t>
      </w:r>
      <w:r w:rsidRPr="00B97B47">
        <w:rPr>
          <w:rFonts w:ascii="Arial" w:eastAsia="Times New Roman" w:hAnsi="Arial" w:cs="Arial"/>
          <w:color w:val="333333"/>
          <w:kern w:val="0"/>
          <w:shd w:val="clear" w:color="auto" w:fill="FFFFFF"/>
          <w:lang w:eastAsia="es-CO"/>
          <w14:ligatures w14:val="none"/>
        </w:rPr>
        <w:t> </w:t>
      </w:r>
    </w:p>
    <w:p w14:paraId="6955F8D7" w14:textId="77777777" w:rsidR="00B97B47" w:rsidRPr="00B97B47" w:rsidRDefault="00B97B47" w:rsidP="00B97B47">
      <w:pPr>
        <w:shd w:val="clear" w:color="auto" w:fill="FFFFFF"/>
        <w:spacing w:after="0" w:line="240" w:lineRule="auto"/>
        <w:jc w:val="both"/>
        <w:rPr>
          <w:rFonts w:ascii="Arial" w:eastAsia="Times New Roman" w:hAnsi="Arial" w:cs="Arial"/>
          <w:color w:val="333333"/>
          <w:kern w:val="0"/>
          <w:lang w:eastAsia="es-CO"/>
          <w14:ligatures w14:val="none"/>
        </w:rPr>
      </w:pPr>
      <w:r w:rsidRPr="00B97B47">
        <w:rPr>
          <w:rFonts w:ascii="Arial" w:eastAsia="Times New Roman" w:hAnsi="Arial" w:cs="Arial"/>
          <w:color w:val="333333"/>
          <w:kern w:val="0"/>
          <w:shd w:val="clear" w:color="auto" w:fill="FFFFFF"/>
          <w:lang w:eastAsia="es-CO"/>
          <w14:ligatures w14:val="none"/>
        </w:rPr>
        <w:t>      </w:t>
      </w:r>
    </w:p>
    <w:p w14:paraId="22384E36" w14:textId="5451F60D" w:rsidR="00B97B47" w:rsidRPr="00B97B47" w:rsidRDefault="00B97B47" w:rsidP="00B97B47">
      <w:pPr>
        <w:shd w:val="clear" w:color="auto" w:fill="FFFFFF"/>
        <w:spacing w:after="0" w:line="240" w:lineRule="auto"/>
        <w:jc w:val="both"/>
        <w:rPr>
          <w:rFonts w:ascii="Arial" w:eastAsia="Times New Roman" w:hAnsi="Arial" w:cs="Arial"/>
          <w:color w:val="333333"/>
          <w:kern w:val="0"/>
          <w:lang w:eastAsia="es-CO"/>
          <w14:ligatures w14:val="none"/>
        </w:rPr>
      </w:pPr>
      <w:r w:rsidRPr="00B97B47">
        <w:rPr>
          <w:rFonts w:ascii="Arial" w:eastAsia="Times New Roman" w:hAnsi="Arial" w:cs="Arial"/>
          <w:color w:val="333333"/>
          <w:kern w:val="0"/>
          <w:shd w:val="clear" w:color="auto" w:fill="FFFFFF"/>
          <w:lang w:val="es-ES" w:eastAsia="es-CO"/>
          <w14:ligatures w14:val="none"/>
        </w:rPr>
        <w:t xml:space="preserve">Ahora bien, conforme se viene explicando, los artículos 31 y 32 de la Ley 2069 de 2021 introducen la posibilidad en cabeza de las </w:t>
      </w:r>
      <w:r w:rsidRPr="00E96A8B">
        <w:rPr>
          <w:rFonts w:ascii="Arial" w:eastAsia="Times New Roman" w:hAnsi="Arial" w:cs="Arial"/>
          <w:b/>
          <w:bCs/>
          <w:color w:val="333333"/>
          <w:kern w:val="0"/>
          <w:shd w:val="clear" w:color="auto" w:fill="FFFFFF"/>
          <w:lang w:val="es-ES" w:eastAsia="es-CO"/>
          <w14:ligatures w14:val="none"/>
        </w:rPr>
        <w:t>entidades estatales</w:t>
      </w:r>
      <w:r w:rsidRPr="00B97B47">
        <w:rPr>
          <w:rFonts w:ascii="Arial" w:eastAsia="Times New Roman" w:hAnsi="Arial" w:cs="Arial"/>
          <w:color w:val="333333"/>
          <w:kern w:val="0"/>
          <w:shd w:val="clear" w:color="auto" w:fill="FFFFFF"/>
          <w:lang w:val="es-ES" w:eastAsia="es-CO"/>
          <w14:ligatures w14:val="none"/>
        </w:rPr>
        <w:t xml:space="preserve"> de incluir requisitos diferenciales y puntajes adicionales para MiPymes y para </w:t>
      </w:r>
      <w:r w:rsidRPr="00B97B47">
        <w:rPr>
          <w:rFonts w:ascii="Arial" w:eastAsia="Times New Roman" w:hAnsi="Arial" w:cs="Arial"/>
          <w:i/>
          <w:iCs/>
          <w:color w:val="333333"/>
          <w:kern w:val="0"/>
          <w:lang w:eastAsia="es-CO"/>
          <w14:ligatures w14:val="none"/>
        </w:rPr>
        <w:t>«</w:t>
      </w:r>
      <w:r w:rsidRPr="00B97B47">
        <w:rPr>
          <w:rFonts w:ascii="Arial" w:eastAsia="Times New Roman" w:hAnsi="Arial" w:cs="Arial"/>
          <w:i/>
          <w:iCs/>
          <w:color w:val="333333"/>
          <w:kern w:val="0"/>
          <w:shd w:val="clear" w:color="auto" w:fill="FFFFFF"/>
          <w:lang w:val="es-ES" w:eastAsia="es-CO"/>
          <w14:ligatures w14:val="none"/>
        </w:rPr>
        <w:t>emprendimientos y empresas de mujeres</w:t>
      </w:r>
      <w:r w:rsidRPr="00B97B47">
        <w:rPr>
          <w:rFonts w:ascii="Arial" w:eastAsia="Times New Roman" w:hAnsi="Arial" w:cs="Arial"/>
          <w:i/>
          <w:iCs/>
          <w:color w:val="333333"/>
          <w:kern w:val="0"/>
          <w:lang w:eastAsia="es-CO"/>
          <w14:ligatures w14:val="none"/>
        </w:rPr>
        <w:t>»</w:t>
      </w:r>
      <w:r w:rsidRPr="00B97B47">
        <w:rPr>
          <w:rFonts w:ascii="Arial" w:eastAsia="Times New Roman" w:hAnsi="Arial" w:cs="Arial"/>
          <w:i/>
          <w:iCs/>
          <w:color w:val="333333"/>
          <w:kern w:val="0"/>
          <w:shd w:val="clear" w:color="auto" w:fill="FFFFFF"/>
          <w:lang w:val="es-ES" w:eastAsia="es-CO"/>
          <w14:ligatures w14:val="none"/>
        </w:rPr>
        <w:t>.</w:t>
      </w:r>
      <w:r w:rsidRPr="00B97B47">
        <w:rPr>
          <w:rFonts w:ascii="Arial" w:eastAsia="Times New Roman" w:hAnsi="Arial" w:cs="Arial"/>
          <w:color w:val="333333"/>
          <w:kern w:val="0"/>
          <w:shd w:val="clear" w:color="auto" w:fill="FFFFFF"/>
          <w:lang w:val="es-ES" w:eastAsia="es-CO"/>
          <w14:ligatures w14:val="none"/>
        </w:rPr>
        <w:t xml:space="preserve"> Lo anterior, tanto en procesos de licitación pública, como de selección abreviada de menor cuantía, </w:t>
      </w:r>
      <w:r w:rsidRPr="00B97B47">
        <w:rPr>
          <w:rFonts w:ascii="Arial" w:eastAsia="Times New Roman" w:hAnsi="Arial" w:cs="Arial"/>
          <w:b/>
          <w:bCs/>
          <w:i/>
          <w:iCs/>
          <w:color w:val="333333"/>
          <w:kern w:val="0"/>
          <w:u w:val="single"/>
          <w:shd w:val="clear" w:color="auto" w:fill="FFFFFF"/>
          <w:lang w:val="es-ES" w:eastAsia="es-CO"/>
          <w14:ligatures w14:val="none"/>
        </w:rPr>
        <w:t>concurso de méritos</w:t>
      </w:r>
      <w:r w:rsidRPr="00B97B47">
        <w:rPr>
          <w:rFonts w:ascii="Arial" w:eastAsia="Times New Roman" w:hAnsi="Arial" w:cs="Arial"/>
          <w:color w:val="333333"/>
          <w:kern w:val="0"/>
          <w:shd w:val="clear" w:color="auto" w:fill="FFFFFF"/>
          <w:lang w:val="es-ES" w:eastAsia="es-CO"/>
          <w14:ligatures w14:val="none"/>
        </w:rPr>
        <w:t xml:space="preserve"> </w:t>
      </w:r>
      <w:r w:rsidRPr="00E96A8B">
        <w:rPr>
          <w:rFonts w:ascii="Arial" w:eastAsia="Times New Roman" w:hAnsi="Arial" w:cs="Arial"/>
          <w:b/>
          <w:bCs/>
          <w:color w:val="333333"/>
          <w:kern w:val="0"/>
          <w:shd w:val="clear" w:color="auto" w:fill="FFFFFF"/>
          <w:lang w:val="es-ES" w:eastAsia="es-CO"/>
          <w14:ligatures w14:val="none"/>
        </w:rPr>
        <w:t>y procesos competitivos que adelanten las entidades estatales exceptuadas de aplicar el Estatuto General de Contratación de la Administración Pública</w:t>
      </w:r>
      <w:r w:rsidRPr="00B97B47">
        <w:rPr>
          <w:rFonts w:ascii="Arial" w:eastAsia="Times New Roman" w:hAnsi="Arial" w:cs="Arial"/>
          <w:color w:val="333333"/>
          <w:kern w:val="0"/>
          <w:shd w:val="clear" w:color="auto" w:fill="FFFFFF"/>
          <w:lang w:val="es-ES" w:eastAsia="es-CO"/>
          <w14:ligatures w14:val="none"/>
        </w:rPr>
        <w:t>. Ello constituye una medida afirmativa que pretende incentivar la participación de estos sujetos en el sistema de compras públicas, sin perjuicio de los compromisos adquiridos por Colombia en los acuerdos comerciales en vigor.</w:t>
      </w:r>
      <w:r w:rsidRPr="00B97B47">
        <w:rPr>
          <w:rFonts w:ascii="Arial" w:eastAsia="Times New Roman" w:hAnsi="Arial" w:cs="Arial"/>
          <w:color w:val="333333"/>
          <w:kern w:val="0"/>
          <w:shd w:val="clear" w:color="auto" w:fill="FFFFFF"/>
          <w:lang w:eastAsia="es-CO"/>
          <w14:ligatures w14:val="none"/>
        </w:rPr>
        <w:t> </w:t>
      </w:r>
    </w:p>
    <w:p w14:paraId="651D3BFE" w14:textId="67593D5E" w:rsidR="00B97B47" w:rsidRPr="00B97B47" w:rsidRDefault="00B97B47" w:rsidP="00B97B47">
      <w:pPr>
        <w:shd w:val="clear" w:color="auto" w:fill="FFFFFF"/>
        <w:spacing w:after="0" w:line="240" w:lineRule="auto"/>
        <w:jc w:val="both"/>
        <w:rPr>
          <w:rFonts w:ascii="Arial" w:eastAsia="Times New Roman" w:hAnsi="Arial" w:cs="Arial"/>
          <w:color w:val="333333"/>
          <w:kern w:val="0"/>
          <w:lang w:eastAsia="es-CO"/>
          <w14:ligatures w14:val="none"/>
        </w:rPr>
      </w:pPr>
    </w:p>
    <w:p w14:paraId="03D676BB" w14:textId="77777777" w:rsidR="00B97B47" w:rsidRDefault="00B97B47" w:rsidP="00B97B47">
      <w:pPr>
        <w:shd w:val="clear" w:color="auto" w:fill="FFFFFF"/>
        <w:spacing w:after="0" w:line="240" w:lineRule="auto"/>
        <w:jc w:val="both"/>
        <w:rPr>
          <w:rFonts w:ascii="Arial" w:eastAsia="Times New Roman" w:hAnsi="Arial" w:cs="Arial"/>
          <w:color w:val="333333"/>
          <w:kern w:val="0"/>
          <w:shd w:val="clear" w:color="auto" w:fill="FFFFFF"/>
          <w:lang w:eastAsia="es-CO"/>
          <w14:ligatures w14:val="none"/>
        </w:rPr>
      </w:pPr>
      <w:proofErr w:type="gramStart"/>
      <w:r w:rsidRPr="00B97B47">
        <w:rPr>
          <w:rFonts w:ascii="Arial" w:eastAsia="Times New Roman" w:hAnsi="Arial" w:cs="Arial"/>
          <w:color w:val="333333"/>
          <w:kern w:val="0"/>
          <w:shd w:val="clear" w:color="auto" w:fill="FFFFFF"/>
          <w:lang w:eastAsia="es-CO"/>
          <w14:ligatures w14:val="none"/>
        </w:rPr>
        <w:t>En razón de</w:t>
      </w:r>
      <w:proofErr w:type="gramEnd"/>
      <w:r w:rsidRPr="00B97B47">
        <w:rPr>
          <w:rFonts w:ascii="Arial" w:eastAsia="Times New Roman" w:hAnsi="Arial" w:cs="Arial"/>
          <w:color w:val="333333"/>
          <w:kern w:val="0"/>
          <w:shd w:val="clear" w:color="auto" w:fill="FFFFFF"/>
          <w:lang w:eastAsia="es-CO"/>
          <w14:ligatures w14:val="none"/>
        </w:rPr>
        <w:t xml:space="preserve"> lo anterior, pese a que la selección objetiva -que es uno de los deberes medulares de la contratación estatal- implica que la selección del contratista no atienda a razones subjetivas, nuestro ordenamiento jurídico permite que la selección del contratista se realice acudiendo a factores habilitantes y de calificación diferenciales de los participantes fijados en los pliegos de condiciones. Esto permite fomentar o facilitar el acceso a las compras públicas de sujetos de menor capacidad en el mercado, como es el caso de los </w:t>
      </w:r>
      <w:r w:rsidRPr="00B97B47">
        <w:rPr>
          <w:rFonts w:ascii="Arial" w:eastAsia="Times New Roman" w:hAnsi="Arial" w:cs="Arial"/>
          <w:i/>
          <w:iCs/>
          <w:color w:val="333333"/>
          <w:kern w:val="0"/>
          <w:lang w:eastAsia="es-CO"/>
          <w14:ligatures w14:val="none"/>
        </w:rPr>
        <w:t>«</w:t>
      </w:r>
      <w:r w:rsidRPr="00B97B47">
        <w:rPr>
          <w:rFonts w:ascii="Arial" w:eastAsia="Times New Roman" w:hAnsi="Arial" w:cs="Arial"/>
          <w:i/>
          <w:iCs/>
          <w:color w:val="333333"/>
          <w:kern w:val="0"/>
          <w:shd w:val="clear" w:color="auto" w:fill="FFFFFF"/>
          <w:lang w:eastAsia="es-CO"/>
          <w14:ligatures w14:val="none"/>
        </w:rPr>
        <w:t>emprendimientos y empresas de mujeres</w:t>
      </w:r>
      <w:r w:rsidRPr="00B97B47">
        <w:rPr>
          <w:rFonts w:ascii="Arial" w:eastAsia="Times New Roman" w:hAnsi="Arial" w:cs="Arial"/>
          <w:i/>
          <w:iCs/>
          <w:color w:val="333333"/>
          <w:kern w:val="0"/>
          <w:lang w:eastAsia="es-CO"/>
          <w14:ligatures w14:val="none"/>
        </w:rPr>
        <w:t>»</w:t>
      </w:r>
      <w:r w:rsidRPr="00B97B47">
        <w:rPr>
          <w:rFonts w:ascii="Arial" w:eastAsia="Times New Roman" w:hAnsi="Arial" w:cs="Arial"/>
          <w:i/>
          <w:iCs/>
          <w:color w:val="333333"/>
          <w:kern w:val="0"/>
          <w:shd w:val="clear" w:color="auto" w:fill="FFFFFF"/>
          <w:lang w:eastAsia="es-CO"/>
          <w14:ligatures w14:val="none"/>
        </w:rPr>
        <w:t>,</w:t>
      </w:r>
      <w:r w:rsidRPr="00B97B47">
        <w:rPr>
          <w:rFonts w:ascii="Arial" w:eastAsia="Times New Roman" w:hAnsi="Arial" w:cs="Arial"/>
          <w:color w:val="333333"/>
          <w:kern w:val="0"/>
          <w:shd w:val="clear" w:color="auto" w:fill="FFFFFF"/>
          <w:lang w:eastAsia="es-CO"/>
          <w14:ligatures w14:val="none"/>
        </w:rPr>
        <w:t> y de las MiPymes. Lo anterior, siempre y cuando el uso de estas medidas afirmativas resulte justificado y no ponga en riesgo el adecuado cumplimiento del contrato, según el análisis del sector y los estudios previos que soporten el proceso contractual.</w:t>
      </w:r>
    </w:p>
    <w:p w14:paraId="699049C7" w14:textId="77777777" w:rsidR="00B97B47" w:rsidRDefault="00B97B47" w:rsidP="00B97B47">
      <w:pPr>
        <w:shd w:val="clear" w:color="auto" w:fill="FFFFFF"/>
        <w:spacing w:after="0" w:line="240" w:lineRule="auto"/>
        <w:jc w:val="both"/>
        <w:rPr>
          <w:rFonts w:ascii="Arial" w:eastAsia="Times New Roman" w:hAnsi="Arial" w:cs="Arial"/>
          <w:color w:val="333333"/>
          <w:kern w:val="0"/>
          <w:shd w:val="clear" w:color="auto" w:fill="FFFFFF"/>
          <w:lang w:eastAsia="es-CO"/>
          <w14:ligatures w14:val="none"/>
        </w:rPr>
      </w:pPr>
    </w:p>
    <w:p w14:paraId="489F012C" w14:textId="5595A964" w:rsidR="00E97CA5" w:rsidRPr="00B97B47" w:rsidRDefault="00E97CA5" w:rsidP="00B97B47">
      <w:pPr>
        <w:shd w:val="clear" w:color="auto" w:fill="FFFFFF"/>
        <w:spacing w:after="0" w:line="240" w:lineRule="auto"/>
        <w:jc w:val="both"/>
        <w:rPr>
          <w:rFonts w:ascii="Arial" w:eastAsia="Times New Roman" w:hAnsi="Arial" w:cs="Arial"/>
          <w:color w:val="333333"/>
          <w:kern w:val="0"/>
          <w:lang w:eastAsia="es-CO"/>
          <w14:ligatures w14:val="none"/>
        </w:rPr>
      </w:pPr>
      <w:r w:rsidRPr="00B97B47">
        <w:rPr>
          <w:rFonts w:ascii="Arial" w:hAnsi="Arial" w:cs="Arial"/>
          <w:color w:val="FF0000"/>
        </w:rPr>
        <w:t xml:space="preserve">Por lo anterior, </w:t>
      </w:r>
      <w:r w:rsidR="00AC4A89" w:rsidRPr="00B97B47">
        <w:rPr>
          <w:rFonts w:ascii="Arial" w:hAnsi="Arial" w:cs="Arial"/>
          <w:color w:val="FF0000"/>
        </w:rPr>
        <w:t>solicito a la entidad dar aplicabilidad a</w:t>
      </w:r>
      <w:r w:rsidR="0084497F" w:rsidRPr="00B97B47">
        <w:rPr>
          <w:rFonts w:ascii="Arial" w:hAnsi="Arial" w:cs="Arial"/>
          <w:color w:val="FF0000"/>
        </w:rPr>
        <w:t xml:space="preserve"> la</w:t>
      </w:r>
      <w:r w:rsidR="00AC4A89" w:rsidRPr="00B97B47">
        <w:rPr>
          <w:rFonts w:ascii="Arial" w:hAnsi="Arial" w:cs="Arial"/>
          <w:color w:val="FF0000"/>
        </w:rPr>
        <w:t xml:space="preserve"> </w:t>
      </w:r>
      <w:r w:rsidR="0084497F" w:rsidRPr="00B97B47">
        <w:rPr>
          <w:rFonts w:ascii="Arial" w:hAnsi="Arial" w:cs="Arial"/>
          <w:color w:val="FF0000"/>
          <w:shd w:val="clear" w:color="auto" w:fill="FFFFFF"/>
        </w:rPr>
        <w:t xml:space="preserve">LEY DE EMPRENDIMIENTO – Ley 2069 de 2020, </w:t>
      </w:r>
      <w:r w:rsidR="00AC4A89" w:rsidRPr="00B97B47">
        <w:rPr>
          <w:rFonts w:ascii="Arial" w:hAnsi="Arial" w:cs="Arial"/>
          <w:color w:val="FF0000"/>
        </w:rPr>
        <w:t>Decreto 1860 del 2021</w:t>
      </w:r>
      <w:r w:rsidR="0084497F" w:rsidRPr="00B97B47">
        <w:rPr>
          <w:rFonts w:ascii="Arial" w:hAnsi="Arial" w:cs="Arial"/>
          <w:color w:val="FF0000"/>
        </w:rPr>
        <w:t xml:space="preserve"> y Concepto C-660 de 2022 Agencia Nacional de Contratación Pública - Colombia Compra Eficiente </w:t>
      </w:r>
      <w:r w:rsidR="00AC4A89" w:rsidRPr="00B97B47">
        <w:rPr>
          <w:rFonts w:ascii="Arial" w:hAnsi="Arial" w:cs="Arial"/>
          <w:color w:val="FF0000"/>
        </w:rPr>
        <w:t xml:space="preserve">en el sentido de </w:t>
      </w:r>
      <w:r w:rsidR="00AC4A89" w:rsidRPr="00B97B47">
        <w:rPr>
          <w:rFonts w:ascii="Arial" w:hAnsi="Arial" w:cs="Arial"/>
          <w:color w:val="FF0000"/>
          <w:shd w:val="clear" w:color="auto" w:fill="FFFFFF"/>
          <w:lang w:val="es-ES"/>
        </w:rPr>
        <w:t xml:space="preserve">incluir requisitos diferenciales </w:t>
      </w:r>
      <w:r w:rsidR="00C66AA4" w:rsidRPr="00B97B47">
        <w:rPr>
          <w:rFonts w:ascii="Arial" w:hAnsi="Arial" w:cs="Arial"/>
          <w:color w:val="FF0000"/>
          <w:shd w:val="clear" w:color="auto" w:fill="FFFFFF"/>
          <w:lang w:val="es-ES"/>
        </w:rPr>
        <w:t>(</w:t>
      </w:r>
      <w:r w:rsidR="00C66AA4" w:rsidRPr="00B97B47">
        <w:rPr>
          <w:rFonts w:ascii="Arial" w:hAnsi="Arial" w:cs="Arial"/>
          <w:color w:val="FF0000"/>
          <w:shd w:val="clear" w:color="auto" w:fill="FFFFFF"/>
        </w:rPr>
        <w:t>capacidad financiera y organizaci</w:t>
      </w:r>
      <w:r w:rsidR="0084497F" w:rsidRPr="00B97B47">
        <w:rPr>
          <w:rFonts w:ascii="Arial" w:hAnsi="Arial" w:cs="Arial"/>
          <w:color w:val="FF0000"/>
          <w:shd w:val="clear" w:color="auto" w:fill="FFFFFF"/>
        </w:rPr>
        <w:t>onal</w:t>
      </w:r>
      <w:r w:rsidR="00C66AA4" w:rsidRPr="00B97B47">
        <w:rPr>
          <w:rFonts w:ascii="Arial" w:hAnsi="Arial" w:cs="Arial"/>
          <w:color w:val="FF0000"/>
          <w:shd w:val="clear" w:color="auto" w:fill="FFFFFF"/>
        </w:rPr>
        <w:t xml:space="preserve">) </w:t>
      </w:r>
      <w:r w:rsidR="00AC4A89" w:rsidRPr="00B97B47">
        <w:rPr>
          <w:rFonts w:ascii="Arial" w:hAnsi="Arial" w:cs="Arial"/>
          <w:color w:val="FF0000"/>
          <w:shd w:val="clear" w:color="auto" w:fill="FFFFFF"/>
          <w:lang w:val="es-ES"/>
        </w:rPr>
        <w:t>para MiPymes y para </w:t>
      </w:r>
      <w:r w:rsidR="00AC4A89" w:rsidRPr="00B97B47">
        <w:rPr>
          <w:rFonts w:ascii="Arial" w:hAnsi="Arial" w:cs="Arial"/>
          <w:i/>
          <w:iCs/>
          <w:color w:val="FF0000"/>
          <w:shd w:val="clear" w:color="auto" w:fill="FFFFFF"/>
        </w:rPr>
        <w:t>«</w:t>
      </w:r>
      <w:r w:rsidR="00AC4A89" w:rsidRPr="00B97B47">
        <w:rPr>
          <w:rFonts w:ascii="Arial" w:hAnsi="Arial" w:cs="Arial"/>
          <w:i/>
          <w:iCs/>
          <w:color w:val="FF0000"/>
          <w:shd w:val="clear" w:color="auto" w:fill="FFFFFF"/>
          <w:lang w:val="es-ES"/>
        </w:rPr>
        <w:t>emprendimientos y empresas de mujeres</w:t>
      </w:r>
      <w:r w:rsidR="00AC4A89" w:rsidRPr="00B97B47">
        <w:rPr>
          <w:rFonts w:ascii="Arial" w:hAnsi="Arial" w:cs="Arial"/>
          <w:i/>
          <w:iCs/>
          <w:color w:val="FF0000"/>
          <w:shd w:val="clear" w:color="auto" w:fill="FFFFFF"/>
        </w:rPr>
        <w:t>»</w:t>
      </w:r>
      <w:r w:rsidR="00C66AA4" w:rsidRPr="00B97B47">
        <w:rPr>
          <w:rFonts w:ascii="Arial" w:hAnsi="Arial" w:cs="Arial"/>
          <w:i/>
          <w:iCs/>
          <w:color w:val="FF0000"/>
          <w:shd w:val="clear" w:color="auto" w:fill="FFFFFF"/>
          <w:lang w:val="es-ES"/>
        </w:rPr>
        <w:t>, así:</w:t>
      </w:r>
    </w:p>
    <w:p w14:paraId="44215A9B" w14:textId="77777777" w:rsidR="00C66AA4" w:rsidRPr="00B97B47" w:rsidRDefault="00C66AA4" w:rsidP="00B97B47">
      <w:pPr>
        <w:spacing w:after="0" w:line="240" w:lineRule="auto"/>
        <w:jc w:val="both"/>
        <w:rPr>
          <w:rFonts w:ascii="Arial" w:hAnsi="Arial" w:cs="Arial"/>
          <w:i/>
          <w:iCs/>
          <w:color w:val="FF0000"/>
          <w:shd w:val="clear" w:color="auto" w:fill="FFFFFF"/>
          <w:lang w:val="es-ES"/>
        </w:rPr>
      </w:pPr>
    </w:p>
    <w:p w14:paraId="15E43030" w14:textId="5919EEF8" w:rsidR="00C66AA4" w:rsidRPr="00B97B47" w:rsidRDefault="00C66AA4" w:rsidP="00B97B47">
      <w:pPr>
        <w:spacing w:after="0" w:line="240" w:lineRule="auto"/>
        <w:jc w:val="both"/>
        <w:rPr>
          <w:rFonts w:ascii="Arial" w:hAnsi="Arial" w:cs="Arial"/>
          <w:b/>
          <w:bCs/>
          <w:u w:val="single"/>
        </w:rPr>
      </w:pPr>
      <w:r w:rsidRPr="00B97B47">
        <w:rPr>
          <w:rFonts w:ascii="Arial" w:hAnsi="Arial" w:cs="Arial"/>
          <w:b/>
          <w:bCs/>
          <w:u w:val="single"/>
        </w:rPr>
        <w:t>MiPymes Acreditadas:</w:t>
      </w:r>
    </w:p>
    <w:p w14:paraId="118AAB29" w14:textId="77777777" w:rsidR="00C66AA4" w:rsidRPr="00B97B47" w:rsidRDefault="00C66AA4" w:rsidP="00B97B47">
      <w:pPr>
        <w:spacing w:after="0" w:line="240" w:lineRule="auto"/>
        <w:jc w:val="both"/>
        <w:rPr>
          <w:rFonts w:ascii="Arial" w:hAnsi="Arial" w:cs="Arial"/>
        </w:rPr>
      </w:pPr>
    </w:p>
    <w:tbl>
      <w:tblPr>
        <w:tblStyle w:val="Tablaconcuadrcula1"/>
        <w:tblW w:w="0" w:type="auto"/>
        <w:tblLook w:val="04A0" w:firstRow="1" w:lastRow="0" w:firstColumn="1" w:lastColumn="0" w:noHBand="0" w:noVBand="1"/>
      </w:tblPr>
      <w:tblGrid>
        <w:gridCol w:w="3441"/>
        <w:gridCol w:w="2901"/>
      </w:tblGrid>
      <w:tr w:rsidR="00C66AA4" w:rsidRPr="00B97B47" w14:paraId="6C99EAA9" w14:textId="77777777" w:rsidTr="0084497F">
        <w:tc>
          <w:tcPr>
            <w:tcW w:w="3441" w:type="dxa"/>
            <w:shd w:val="clear" w:color="auto" w:fill="C45911" w:themeFill="accent2" w:themeFillShade="BF"/>
            <w:vAlign w:val="center"/>
          </w:tcPr>
          <w:p w14:paraId="3D8A2561" w14:textId="77777777" w:rsidR="00C66AA4" w:rsidRPr="00B97B47" w:rsidRDefault="00C66AA4" w:rsidP="00B97B47">
            <w:pPr>
              <w:ind w:left="174" w:hanging="174"/>
              <w:jc w:val="center"/>
              <w:rPr>
                <w:rFonts w:ascii="Arial" w:hAnsi="Arial" w:cs="Arial"/>
                <w:b/>
              </w:rPr>
            </w:pPr>
            <w:r w:rsidRPr="00B97B47">
              <w:rPr>
                <w:rFonts w:ascii="Arial" w:hAnsi="Arial" w:cs="Arial"/>
                <w:b/>
              </w:rPr>
              <w:t>Indicador</w:t>
            </w:r>
          </w:p>
        </w:tc>
        <w:tc>
          <w:tcPr>
            <w:tcW w:w="2901" w:type="dxa"/>
            <w:shd w:val="clear" w:color="auto" w:fill="C45911" w:themeFill="accent2" w:themeFillShade="BF"/>
            <w:vAlign w:val="center"/>
          </w:tcPr>
          <w:p w14:paraId="77C8C77C" w14:textId="77777777" w:rsidR="00C66AA4" w:rsidRPr="00B97B47" w:rsidRDefault="00C66AA4" w:rsidP="00B97B47">
            <w:pPr>
              <w:ind w:left="174" w:hanging="174"/>
              <w:jc w:val="center"/>
              <w:rPr>
                <w:rFonts w:ascii="Arial" w:hAnsi="Arial" w:cs="Arial"/>
                <w:b/>
              </w:rPr>
            </w:pPr>
            <w:r w:rsidRPr="00B97B47">
              <w:rPr>
                <w:rFonts w:ascii="Arial" w:hAnsi="Arial" w:cs="Arial"/>
                <w:b/>
              </w:rPr>
              <w:t>Valor concertado</w:t>
            </w:r>
          </w:p>
        </w:tc>
      </w:tr>
      <w:tr w:rsidR="00C66AA4" w:rsidRPr="00B97B47" w14:paraId="281FDCB0" w14:textId="77777777" w:rsidTr="0084497F">
        <w:trPr>
          <w:trHeight w:val="78"/>
        </w:trPr>
        <w:tc>
          <w:tcPr>
            <w:tcW w:w="3441" w:type="dxa"/>
            <w:vAlign w:val="center"/>
          </w:tcPr>
          <w:p w14:paraId="67CC5718" w14:textId="77777777" w:rsidR="00C66AA4" w:rsidRPr="00B97B47" w:rsidRDefault="00C66AA4" w:rsidP="00B97B47">
            <w:pPr>
              <w:jc w:val="center"/>
              <w:rPr>
                <w:rFonts w:ascii="Arial" w:hAnsi="Arial" w:cs="Arial"/>
              </w:rPr>
            </w:pPr>
            <w:r w:rsidRPr="00B97B47">
              <w:rPr>
                <w:rFonts w:ascii="Arial" w:hAnsi="Arial" w:cs="Arial"/>
              </w:rPr>
              <w:t>Índice de liquidez</w:t>
            </w:r>
          </w:p>
        </w:tc>
        <w:tc>
          <w:tcPr>
            <w:tcW w:w="2901" w:type="dxa"/>
            <w:vAlign w:val="center"/>
          </w:tcPr>
          <w:p w14:paraId="25361DBF" w14:textId="77777777" w:rsidR="00C66AA4" w:rsidRPr="00B97B47" w:rsidRDefault="00C66AA4" w:rsidP="00B97B47">
            <w:pPr>
              <w:jc w:val="center"/>
              <w:rPr>
                <w:rFonts w:ascii="Arial" w:hAnsi="Arial" w:cs="Arial"/>
                <w:bCs/>
              </w:rPr>
            </w:pPr>
            <m:oMath>
              <m:r>
                <m:rPr>
                  <m:sty m:val="p"/>
                </m:rPr>
                <w:rPr>
                  <w:rFonts w:ascii="Cambria Math" w:hAnsi="Cambria Math" w:cs="Arial"/>
                </w:rPr>
                <m:t>≥</m:t>
              </m:r>
            </m:oMath>
            <w:r w:rsidRPr="00B97B47">
              <w:rPr>
                <w:rFonts w:ascii="Arial" w:hAnsi="Arial" w:cs="Arial"/>
                <w:bCs/>
              </w:rPr>
              <w:t>1,10</w:t>
            </w:r>
          </w:p>
        </w:tc>
      </w:tr>
      <w:tr w:rsidR="00C66AA4" w:rsidRPr="00B97B47" w14:paraId="11EE8C72" w14:textId="77777777" w:rsidTr="0084497F">
        <w:trPr>
          <w:trHeight w:val="407"/>
        </w:trPr>
        <w:tc>
          <w:tcPr>
            <w:tcW w:w="3441" w:type="dxa"/>
            <w:vAlign w:val="center"/>
          </w:tcPr>
          <w:p w14:paraId="69621D88" w14:textId="77777777" w:rsidR="00C66AA4" w:rsidRPr="00B97B47" w:rsidRDefault="00C66AA4" w:rsidP="00B97B47">
            <w:pPr>
              <w:jc w:val="center"/>
              <w:rPr>
                <w:rFonts w:ascii="Arial" w:hAnsi="Arial" w:cs="Arial"/>
              </w:rPr>
            </w:pPr>
            <w:r w:rsidRPr="00B97B47">
              <w:rPr>
                <w:rFonts w:ascii="Arial" w:hAnsi="Arial" w:cs="Arial"/>
              </w:rPr>
              <w:t>Índice de endeudamiento</w:t>
            </w:r>
          </w:p>
        </w:tc>
        <w:tc>
          <w:tcPr>
            <w:tcW w:w="2901" w:type="dxa"/>
            <w:vAlign w:val="center"/>
          </w:tcPr>
          <w:p w14:paraId="1ED5FA43" w14:textId="69280F00" w:rsidR="00C66AA4" w:rsidRPr="00B97B47" w:rsidRDefault="00C66AA4" w:rsidP="00B97B47">
            <w:pPr>
              <w:jc w:val="center"/>
              <w:rPr>
                <w:rFonts w:ascii="Arial" w:hAnsi="Arial" w:cs="Arial"/>
                <w:bCs/>
              </w:rPr>
            </w:pPr>
            <m:oMath>
              <m:r>
                <m:rPr>
                  <m:sty m:val="p"/>
                </m:rPr>
                <w:rPr>
                  <w:rFonts w:ascii="Cambria Math" w:hAnsi="Cambria Math" w:cs="Arial"/>
                </w:rPr>
                <m:t xml:space="preserve">≤ </m:t>
              </m:r>
            </m:oMath>
            <w:r w:rsidRPr="00B97B47">
              <w:rPr>
                <w:rFonts w:ascii="Arial" w:hAnsi="Arial" w:cs="Arial"/>
                <w:bCs/>
              </w:rPr>
              <w:t>75%</w:t>
            </w:r>
          </w:p>
        </w:tc>
      </w:tr>
      <w:tr w:rsidR="00C66AA4" w:rsidRPr="00B97B47" w14:paraId="61E81CB4" w14:textId="77777777" w:rsidTr="0084497F">
        <w:tc>
          <w:tcPr>
            <w:tcW w:w="3441" w:type="dxa"/>
            <w:vAlign w:val="center"/>
          </w:tcPr>
          <w:p w14:paraId="09DF27E5" w14:textId="77777777" w:rsidR="00C66AA4" w:rsidRPr="00B97B47" w:rsidRDefault="00C66AA4" w:rsidP="00B97B47">
            <w:pPr>
              <w:jc w:val="center"/>
              <w:rPr>
                <w:rFonts w:ascii="Arial" w:hAnsi="Arial" w:cs="Arial"/>
              </w:rPr>
            </w:pPr>
            <w:r w:rsidRPr="00B97B47">
              <w:rPr>
                <w:rFonts w:ascii="Arial" w:hAnsi="Arial" w:cs="Arial"/>
              </w:rPr>
              <w:t>Razón de cobertura de intereses</w:t>
            </w:r>
          </w:p>
        </w:tc>
        <w:tc>
          <w:tcPr>
            <w:tcW w:w="2901" w:type="dxa"/>
            <w:vAlign w:val="center"/>
          </w:tcPr>
          <w:p w14:paraId="3FE8D2B4" w14:textId="40D4686A" w:rsidR="00C66AA4" w:rsidRPr="00B97B47" w:rsidRDefault="00C66AA4" w:rsidP="00B97B47">
            <w:pPr>
              <w:jc w:val="center"/>
              <w:rPr>
                <w:rFonts w:ascii="Arial" w:eastAsiaTheme="minorEastAsia" w:hAnsi="Arial" w:cs="Arial"/>
                <w:bCs/>
              </w:rPr>
            </w:pPr>
            <m:oMathPara>
              <m:oMath>
                <m:r>
                  <m:rPr>
                    <m:sty m:val="p"/>
                  </m:rPr>
                  <w:rPr>
                    <w:rFonts w:ascii="Cambria Math" w:hAnsi="Cambria Math" w:cs="Arial"/>
                  </w:rPr>
                  <m:t>≥0</m:t>
                </m:r>
              </m:oMath>
            </m:oMathPara>
          </w:p>
        </w:tc>
      </w:tr>
      <w:tr w:rsidR="00C66AA4" w:rsidRPr="00B97B47" w14:paraId="55048448" w14:textId="77777777" w:rsidTr="0084497F">
        <w:tc>
          <w:tcPr>
            <w:tcW w:w="3441" w:type="dxa"/>
            <w:vAlign w:val="center"/>
          </w:tcPr>
          <w:p w14:paraId="20A21303" w14:textId="77777777" w:rsidR="00C66AA4" w:rsidRPr="00B97B47" w:rsidRDefault="00C66AA4" w:rsidP="00B97B47">
            <w:pPr>
              <w:jc w:val="center"/>
              <w:rPr>
                <w:rFonts w:ascii="Arial" w:hAnsi="Arial" w:cs="Arial"/>
              </w:rPr>
            </w:pPr>
            <w:r w:rsidRPr="00B97B47">
              <w:rPr>
                <w:rFonts w:ascii="Arial" w:hAnsi="Arial" w:cs="Arial"/>
              </w:rPr>
              <w:t>Capital de trabajo</w:t>
            </w:r>
          </w:p>
        </w:tc>
        <w:tc>
          <w:tcPr>
            <w:tcW w:w="2901" w:type="dxa"/>
            <w:vAlign w:val="center"/>
          </w:tcPr>
          <w:p w14:paraId="11110549" w14:textId="4689808D" w:rsidR="00C66AA4" w:rsidRPr="00B97B47" w:rsidRDefault="0084497F" w:rsidP="00B97B47">
            <w:pPr>
              <w:jc w:val="center"/>
              <w:rPr>
                <w:rFonts w:ascii="Arial" w:hAnsi="Arial" w:cs="Arial"/>
                <w:bCs/>
              </w:rPr>
            </w:pPr>
            <w:r w:rsidRPr="00B97B47">
              <w:rPr>
                <w:rFonts w:ascii="Arial" w:hAnsi="Arial" w:cs="Arial"/>
                <w:bCs/>
              </w:rPr>
              <w:t>10% del Presupuesto Oficial</w:t>
            </w:r>
          </w:p>
        </w:tc>
      </w:tr>
      <w:tr w:rsidR="00C66AA4" w:rsidRPr="00B97B47" w14:paraId="4E36DA11" w14:textId="77777777" w:rsidTr="0084497F">
        <w:tc>
          <w:tcPr>
            <w:tcW w:w="3441" w:type="dxa"/>
            <w:vAlign w:val="center"/>
          </w:tcPr>
          <w:p w14:paraId="295391EE" w14:textId="77777777" w:rsidR="00C66AA4" w:rsidRPr="00B97B47" w:rsidRDefault="00C66AA4" w:rsidP="00B97B47">
            <w:pPr>
              <w:jc w:val="center"/>
              <w:rPr>
                <w:rFonts w:ascii="Arial" w:hAnsi="Arial" w:cs="Arial"/>
              </w:rPr>
            </w:pPr>
            <w:r w:rsidRPr="00B97B47">
              <w:rPr>
                <w:rFonts w:ascii="Arial" w:hAnsi="Arial" w:cs="Arial"/>
              </w:rPr>
              <w:t>Rentabilidad del patrimonio</w:t>
            </w:r>
          </w:p>
        </w:tc>
        <w:tc>
          <w:tcPr>
            <w:tcW w:w="2901" w:type="dxa"/>
            <w:vAlign w:val="center"/>
          </w:tcPr>
          <w:p w14:paraId="23960B29" w14:textId="2FB67630" w:rsidR="00C66AA4" w:rsidRPr="00B97B47" w:rsidRDefault="00C66AA4" w:rsidP="00B97B47">
            <w:pPr>
              <w:jc w:val="center"/>
              <w:rPr>
                <w:rFonts w:ascii="Arial" w:eastAsiaTheme="minorEastAsia" w:hAnsi="Arial" w:cs="Arial"/>
                <w:bCs/>
              </w:rPr>
            </w:pPr>
            <m:oMathPara>
              <m:oMath>
                <m:r>
                  <m:rPr>
                    <m:sty m:val="p"/>
                  </m:rPr>
                  <w:rPr>
                    <w:rFonts w:ascii="Cambria Math" w:hAnsi="Cambria Math" w:cs="Arial"/>
                  </w:rPr>
                  <m:t>≥0</m:t>
                </m:r>
              </m:oMath>
            </m:oMathPara>
          </w:p>
        </w:tc>
      </w:tr>
      <w:tr w:rsidR="00C66AA4" w:rsidRPr="00B97B47" w14:paraId="3C3E8496" w14:textId="77777777" w:rsidTr="0084497F">
        <w:trPr>
          <w:trHeight w:val="203"/>
        </w:trPr>
        <w:tc>
          <w:tcPr>
            <w:tcW w:w="3441" w:type="dxa"/>
            <w:vAlign w:val="center"/>
          </w:tcPr>
          <w:p w14:paraId="2958A488" w14:textId="77777777" w:rsidR="00C66AA4" w:rsidRPr="00B97B47" w:rsidRDefault="00C66AA4" w:rsidP="00B97B47">
            <w:pPr>
              <w:jc w:val="center"/>
              <w:rPr>
                <w:rFonts w:ascii="Arial" w:hAnsi="Arial" w:cs="Arial"/>
              </w:rPr>
            </w:pPr>
            <w:r w:rsidRPr="00B97B47">
              <w:rPr>
                <w:rFonts w:ascii="Arial" w:hAnsi="Arial" w:cs="Arial"/>
              </w:rPr>
              <w:t>Rentabilidad del activo</w:t>
            </w:r>
          </w:p>
        </w:tc>
        <w:tc>
          <w:tcPr>
            <w:tcW w:w="2901" w:type="dxa"/>
            <w:vAlign w:val="center"/>
          </w:tcPr>
          <w:p w14:paraId="7DBFA589" w14:textId="05E0D473" w:rsidR="00C66AA4" w:rsidRPr="00B97B47" w:rsidRDefault="00C66AA4" w:rsidP="00B97B47">
            <w:pPr>
              <w:jc w:val="center"/>
              <w:rPr>
                <w:rFonts w:ascii="Arial" w:eastAsiaTheme="minorEastAsia" w:hAnsi="Arial" w:cs="Arial"/>
                <w:bCs/>
              </w:rPr>
            </w:pPr>
            <m:oMathPara>
              <m:oMath>
                <m:r>
                  <m:rPr>
                    <m:sty m:val="p"/>
                  </m:rPr>
                  <w:rPr>
                    <w:rFonts w:ascii="Cambria Math" w:hAnsi="Cambria Math" w:cs="Arial"/>
                  </w:rPr>
                  <m:t>≥0</m:t>
                </m:r>
              </m:oMath>
            </m:oMathPara>
          </w:p>
        </w:tc>
      </w:tr>
    </w:tbl>
    <w:p w14:paraId="38E2EB30" w14:textId="77777777" w:rsidR="00C66AA4" w:rsidRPr="00B97B47" w:rsidRDefault="00C66AA4" w:rsidP="00B97B47">
      <w:pPr>
        <w:spacing w:after="0" w:line="240" w:lineRule="auto"/>
        <w:jc w:val="both"/>
        <w:rPr>
          <w:rFonts w:ascii="Arial" w:hAnsi="Arial" w:cs="Arial"/>
        </w:rPr>
      </w:pPr>
    </w:p>
    <w:p w14:paraId="0FE9D7DD" w14:textId="77777777" w:rsidR="00C66AA4" w:rsidRPr="00B97B47" w:rsidRDefault="00C66AA4" w:rsidP="00B97B47">
      <w:pPr>
        <w:spacing w:after="0" w:line="240" w:lineRule="auto"/>
        <w:jc w:val="both"/>
        <w:rPr>
          <w:rFonts w:ascii="Arial" w:hAnsi="Arial" w:cs="Arial"/>
        </w:rPr>
      </w:pPr>
    </w:p>
    <w:p w14:paraId="116A92DD" w14:textId="252C9652" w:rsidR="00C66AA4" w:rsidRPr="00B97B47" w:rsidRDefault="00C66AA4" w:rsidP="00B97B47">
      <w:pPr>
        <w:spacing w:after="0" w:line="240" w:lineRule="auto"/>
        <w:jc w:val="both"/>
        <w:rPr>
          <w:rFonts w:ascii="Arial" w:hAnsi="Arial" w:cs="Arial"/>
          <w:b/>
          <w:bCs/>
          <w:u w:val="single"/>
        </w:rPr>
      </w:pPr>
      <w:r w:rsidRPr="00B97B47">
        <w:rPr>
          <w:rFonts w:ascii="Arial" w:hAnsi="Arial" w:cs="Arial"/>
          <w:b/>
          <w:bCs/>
          <w:u w:val="single"/>
        </w:rPr>
        <w:t>Demas Proponentes:</w:t>
      </w:r>
    </w:p>
    <w:p w14:paraId="75A66831" w14:textId="77777777" w:rsidR="00C66AA4" w:rsidRPr="00B97B47" w:rsidRDefault="00C66AA4" w:rsidP="00B97B47">
      <w:pPr>
        <w:spacing w:after="0" w:line="240" w:lineRule="auto"/>
        <w:jc w:val="both"/>
        <w:rPr>
          <w:rFonts w:ascii="Arial" w:hAnsi="Arial" w:cs="Arial"/>
          <w:b/>
          <w:bCs/>
          <w:u w:val="single"/>
        </w:rPr>
      </w:pPr>
    </w:p>
    <w:tbl>
      <w:tblPr>
        <w:tblStyle w:val="Tablaconcuadrcula1"/>
        <w:tblW w:w="0" w:type="auto"/>
        <w:tblLook w:val="04A0" w:firstRow="1" w:lastRow="0" w:firstColumn="1" w:lastColumn="0" w:noHBand="0" w:noVBand="1"/>
      </w:tblPr>
      <w:tblGrid>
        <w:gridCol w:w="3530"/>
        <w:gridCol w:w="2978"/>
      </w:tblGrid>
      <w:tr w:rsidR="00C66AA4" w:rsidRPr="00B97B47" w14:paraId="0985E8AA" w14:textId="77777777" w:rsidTr="00C66AA4">
        <w:trPr>
          <w:trHeight w:val="20"/>
          <w:tblHeader/>
        </w:trPr>
        <w:tc>
          <w:tcPr>
            <w:tcW w:w="3530" w:type="dxa"/>
            <w:shd w:val="clear" w:color="auto" w:fill="C45911" w:themeFill="accent2" w:themeFillShade="BF"/>
            <w:vAlign w:val="center"/>
          </w:tcPr>
          <w:p w14:paraId="5777A55D" w14:textId="77777777" w:rsidR="00C66AA4" w:rsidRPr="00B97B47" w:rsidRDefault="00C66AA4" w:rsidP="00B97B47">
            <w:pPr>
              <w:ind w:left="174" w:hanging="174"/>
              <w:jc w:val="center"/>
              <w:rPr>
                <w:rFonts w:ascii="Arial" w:hAnsi="Arial" w:cs="Arial"/>
                <w:b/>
              </w:rPr>
            </w:pPr>
            <w:r w:rsidRPr="00B97B47">
              <w:rPr>
                <w:rFonts w:ascii="Arial" w:hAnsi="Arial" w:cs="Arial"/>
                <w:b/>
              </w:rPr>
              <w:t>Indicador</w:t>
            </w:r>
          </w:p>
        </w:tc>
        <w:tc>
          <w:tcPr>
            <w:tcW w:w="2978" w:type="dxa"/>
            <w:shd w:val="clear" w:color="auto" w:fill="C45911" w:themeFill="accent2" w:themeFillShade="BF"/>
            <w:vAlign w:val="center"/>
          </w:tcPr>
          <w:p w14:paraId="240FB455" w14:textId="77777777" w:rsidR="00C66AA4" w:rsidRPr="00B97B47" w:rsidRDefault="00C66AA4" w:rsidP="00B97B47">
            <w:pPr>
              <w:ind w:left="174" w:hanging="174"/>
              <w:jc w:val="center"/>
              <w:rPr>
                <w:rFonts w:ascii="Arial" w:hAnsi="Arial" w:cs="Arial"/>
                <w:b/>
              </w:rPr>
            </w:pPr>
            <w:r w:rsidRPr="00B97B47">
              <w:rPr>
                <w:rFonts w:ascii="Arial" w:hAnsi="Arial" w:cs="Arial"/>
                <w:b/>
              </w:rPr>
              <w:t>Valor concertado</w:t>
            </w:r>
          </w:p>
        </w:tc>
      </w:tr>
      <w:tr w:rsidR="00C66AA4" w:rsidRPr="00B97B47" w14:paraId="0B4F34E6" w14:textId="77777777" w:rsidTr="00C66AA4">
        <w:trPr>
          <w:trHeight w:val="20"/>
        </w:trPr>
        <w:tc>
          <w:tcPr>
            <w:tcW w:w="3530" w:type="dxa"/>
            <w:vAlign w:val="center"/>
          </w:tcPr>
          <w:p w14:paraId="111E8FB2" w14:textId="77777777" w:rsidR="00C66AA4" w:rsidRPr="00B97B47" w:rsidRDefault="00C66AA4" w:rsidP="00B97B47">
            <w:pPr>
              <w:jc w:val="center"/>
              <w:rPr>
                <w:rFonts w:ascii="Arial" w:hAnsi="Arial" w:cs="Arial"/>
              </w:rPr>
            </w:pPr>
            <w:r w:rsidRPr="00B97B47">
              <w:rPr>
                <w:rFonts w:ascii="Arial" w:hAnsi="Arial" w:cs="Arial"/>
              </w:rPr>
              <w:t>Índice de liquidez</w:t>
            </w:r>
          </w:p>
        </w:tc>
        <w:tc>
          <w:tcPr>
            <w:tcW w:w="2978" w:type="dxa"/>
            <w:vAlign w:val="center"/>
          </w:tcPr>
          <w:p w14:paraId="042B46FE" w14:textId="1BF90BF0" w:rsidR="00C66AA4" w:rsidRPr="00B97B47" w:rsidRDefault="00C66AA4" w:rsidP="00B97B47">
            <w:pPr>
              <w:jc w:val="center"/>
              <w:rPr>
                <w:rFonts w:ascii="Arial" w:hAnsi="Arial" w:cs="Arial"/>
                <w:bCs/>
              </w:rPr>
            </w:pPr>
            <m:oMath>
              <m:r>
                <m:rPr>
                  <m:sty m:val="p"/>
                </m:rPr>
                <w:rPr>
                  <w:rFonts w:ascii="Cambria Math" w:hAnsi="Cambria Math" w:cs="Arial"/>
                </w:rPr>
                <m:t>≥</m:t>
              </m:r>
            </m:oMath>
            <w:r w:rsidRPr="00B97B47">
              <w:rPr>
                <w:rFonts w:ascii="Arial" w:hAnsi="Arial" w:cs="Arial"/>
                <w:bCs/>
              </w:rPr>
              <w:t>1,21</w:t>
            </w:r>
          </w:p>
        </w:tc>
      </w:tr>
      <w:tr w:rsidR="00C66AA4" w:rsidRPr="00B97B47" w14:paraId="5DC367DD" w14:textId="77777777" w:rsidTr="00C66AA4">
        <w:trPr>
          <w:trHeight w:val="416"/>
        </w:trPr>
        <w:tc>
          <w:tcPr>
            <w:tcW w:w="3530" w:type="dxa"/>
            <w:vAlign w:val="center"/>
          </w:tcPr>
          <w:p w14:paraId="248ABC09" w14:textId="77777777" w:rsidR="00C66AA4" w:rsidRPr="00B97B47" w:rsidRDefault="00C66AA4" w:rsidP="00B97B47">
            <w:pPr>
              <w:jc w:val="center"/>
              <w:rPr>
                <w:rFonts w:ascii="Arial" w:hAnsi="Arial" w:cs="Arial"/>
              </w:rPr>
            </w:pPr>
            <w:r w:rsidRPr="00B97B47">
              <w:rPr>
                <w:rFonts w:ascii="Arial" w:hAnsi="Arial" w:cs="Arial"/>
              </w:rPr>
              <w:t>Índice de endeudamiento</w:t>
            </w:r>
          </w:p>
        </w:tc>
        <w:tc>
          <w:tcPr>
            <w:tcW w:w="2978" w:type="dxa"/>
            <w:vAlign w:val="center"/>
          </w:tcPr>
          <w:p w14:paraId="676661D0" w14:textId="77777777" w:rsidR="00C66AA4" w:rsidRPr="00B97B47" w:rsidRDefault="00C66AA4" w:rsidP="00B97B47">
            <w:pPr>
              <w:jc w:val="center"/>
              <w:rPr>
                <w:rFonts w:ascii="Arial" w:hAnsi="Arial" w:cs="Arial"/>
                <w:bCs/>
              </w:rPr>
            </w:pPr>
            <m:oMath>
              <m:r>
                <m:rPr>
                  <m:sty m:val="p"/>
                </m:rPr>
                <w:rPr>
                  <w:rFonts w:ascii="Cambria Math" w:hAnsi="Cambria Math" w:cs="Arial"/>
                </w:rPr>
                <m:t xml:space="preserve">≤ </m:t>
              </m:r>
            </m:oMath>
            <w:r w:rsidRPr="00B97B47">
              <w:rPr>
                <w:rFonts w:ascii="Arial" w:hAnsi="Arial" w:cs="Arial"/>
                <w:bCs/>
              </w:rPr>
              <w:t>70%</w:t>
            </w:r>
          </w:p>
        </w:tc>
      </w:tr>
      <w:tr w:rsidR="00C66AA4" w:rsidRPr="00B97B47" w14:paraId="71E28188" w14:textId="77777777" w:rsidTr="00C66AA4">
        <w:trPr>
          <w:trHeight w:val="20"/>
        </w:trPr>
        <w:tc>
          <w:tcPr>
            <w:tcW w:w="3530" w:type="dxa"/>
            <w:vAlign w:val="center"/>
          </w:tcPr>
          <w:p w14:paraId="0B898C14" w14:textId="77777777" w:rsidR="00C66AA4" w:rsidRPr="00B97B47" w:rsidRDefault="00C66AA4" w:rsidP="00B97B47">
            <w:pPr>
              <w:jc w:val="center"/>
              <w:rPr>
                <w:rFonts w:ascii="Arial" w:hAnsi="Arial" w:cs="Arial"/>
              </w:rPr>
            </w:pPr>
            <w:r w:rsidRPr="00B97B47">
              <w:rPr>
                <w:rFonts w:ascii="Arial" w:hAnsi="Arial" w:cs="Arial"/>
              </w:rPr>
              <w:t>Razón de cobertura de intereses</w:t>
            </w:r>
          </w:p>
        </w:tc>
        <w:tc>
          <w:tcPr>
            <w:tcW w:w="2978" w:type="dxa"/>
            <w:vAlign w:val="center"/>
          </w:tcPr>
          <w:p w14:paraId="40A0BF95" w14:textId="3C4BBF3E" w:rsidR="00C66AA4" w:rsidRPr="00B97B47" w:rsidRDefault="00C66AA4" w:rsidP="00B97B47">
            <w:pPr>
              <w:jc w:val="center"/>
              <w:rPr>
                <w:rFonts w:ascii="Arial" w:eastAsiaTheme="minorEastAsia" w:hAnsi="Arial" w:cs="Arial"/>
                <w:bCs/>
              </w:rPr>
            </w:pPr>
            <m:oMathPara>
              <m:oMath>
                <m:r>
                  <m:rPr>
                    <m:sty m:val="p"/>
                  </m:rPr>
                  <w:rPr>
                    <w:rFonts w:ascii="Cambria Math" w:hAnsi="Cambria Math" w:cs="Arial"/>
                  </w:rPr>
                  <m:t>≥</m:t>
                </m:r>
                <m:r>
                  <w:rPr>
                    <w:rFonts w:ascii="Cambria Math" w:eastAsiaTheme="minorEastAsia" w:hAnsi="Cambria Math" w:cs="Arial"/>
                  </w:rPr>
                  <m:t>1</m:t>
                </m:r>
              </m:oMath>
            </m:oMathPara>
          </w:p>
        </w:tc>
      </w:tr>
      <w:tr w:rsidR="0084497F" w:rsidRPr="00B97B47" w14:paraId="46E210A5" w14:textId="77777777" w:rsidTr="00C66AA4">
        <w:trPr>
          <w:trHeight w:val="20"/>
        </w:trPr>
        <w:tc>
          <w:tcPr>
            <w:tcW w:w="3530" w:type="dxa"/>
            <w:vAlign w:val="center"/>
          </w:tcPr>
          <w:p w14:paraId="4A1E421E" w14:textId="77777777" w:rsidR="0084497F" w:rsidRPr="00B97B47" w:rsidRDefault="0084497F" w:rsidP="00B97B47">
            <w:pPr>
              <w:jc w:val="center"/>
              <w:rPr>
                <w:rFonts w:ascii="Arial" w:hAnsi="Arial" w:cs="Arial"/>
              </w:rPr>
            </w:pPr>
            <w:r w:rsidRPr="00B97B47">
              <w:rPr>
                <w:rFonts w:ascii="Arial" w:hAnsi="Arial" w:cs="Arial"/>
              </w:rPr>
              <w:t>Capital de trabajo</w:t>
            </w:r>
          </w:p>
        </w:tc>
        <w:tc>
          <w:tcPr>
            <w:tcW w:w="2978" w:type="dxa"/>
            <w:vAlign w:val="center"/>
          </w:tcPr>
          <w:p w14:paraId="6CD873DF" w14:textId="7D435AA3" w:rsidR="0084497F" w:rsidRPr="00B97B47" w:rsidRDefault="0084497F" w:rsidP="00B97B47">
            <w:pPr>
              <w:jc w:val="center"/>
              <w:rPr>
                <w:rFonts w:ascii="Arial" w:hAnsi="Arial" w:cs="Arial"/>
                <w:bCs/>
              </w:rPr>
            </w:pPr>
            <w:r w:rsidRPr="00B97B47">
              <w:rPr>
                <w:rFonts w:ascii="Arial" w:hAnsi="Arial" w:cs="Arial"/>
                <w:bCs/>
              </w:rPr>
              <w:t>20% del Presupuesto Oficial</w:t>
            </w:r>
          </w:p>
        </w:tc>
      </w:tr>
      <w:tr w:rsidR="0084497F" w:rsidRPr="00B97B47" w14:paraId="2F5F9D67" w14:textId="77777777" w:rsidTr="00C66AA4">
        <w:trPr>
          <w:trHeight w:val="20"/>
        </w:trPr>
        <w:tc>
          <w:tcPr>
            <w:tcW w:w="3530" w:type="dxa"/>
            <w:vAlign w:val="center"/>
          </w:tcPr>
          <w:p w14:paraId="0B5325EA" w14:textId="77777777" w:rsidR="0084497F" w:rsidRPr="00B97B47" w:rsidRDefault="0084497F" w:rsidP="00B97B47">
            <w:pPr>
              <w:jc w:val="center"/>
              <w:rPr>
                <w:rFonts w:ascii="Arial" w:hAnsi="Arial" w:cs="Arial"/>
              </w:rPr>
            </w:pPr>
            <w:r w:rsidRPr="00B97B47">
              <w:rPr>
                <w:rFonts w:ascii="Arial" w:hAnsi="Arial" w:cs="Arial"/>
              </w:rPr>
              <w:t>Rentabilidad del patrimonio</w:t>
            </w:r>
          </w:p>
        </w:tc>
        <w:tc>
          <w:tcPr>
            <w:tcW w:w="2978" w:type="dxa"/>
            <w:vAlign w:val="center"/>
          </w:tcPr>
          <w:p w14:paraId="05B29736" w14:textId="40F48B2F" w:rsidR="0084497F" w:rsidRPr="00B97B47" w:rsidRDefault="0084497F" w:rsidP="00B97B47">
            <w:pPr>
              <w:jc w:val="center"/>
              <w:rPr>
                <w:rFonts w:ascii="Arial" w:eastAsiaTheme="minorEastAsia" w:hAnsi="Arial" w:cs="Arial"/>
                <w:bCs/>
              </w:rPr>
            </w:pPr>
            <m:oMathPara>
              <m:oMath>
                <m:r>
                  <m:rPr>
                    <m:sty m:val="p"/>
                  </m:rPr>
                  <w:rPr>
                    <w:rFonts w:ascii="Cambria Math" w:hAnsi="Cambria Math" w:cs="Arial"/>
                  </w:rPr>
                  <m:t>≥0</m:t>
                </m:r>
                <m:r>
                  <w:rPr>
                    <w:rFonts w:ascii="Cambria Math" w:eastAsiaTheme="minorEastAsia" w:hAnsi="Cambria Math" w:cs="Arial"/>
                  </w:rPr>
                  <m:t>,04</m:t>
                </m:r>
              </m:oMath>
            </m:oMathPara>
          </w:p>
        </w:tc>
      </w:tr>
      <w:tr w:rsidR="0084497F" w:rsidRPr="00B97B47" w14:paraId="669FAB1B" w14:textId="77777777" w:rsidTr="00C66AA4">
        <w:trPr>
          <w:trHeight w:val="20"/>
        </w:trPr>
        <w:tc>
          <w:tcPr>
            <w:tcW w:w="3530" w:type="dxa"/>
            <w:vAlign w:val="center"/>
          </w:tcPr>
          <w:p w14:paraId="118DB267" w14:textId="77777777" w:rsidR="0084497F" w:rsidRPr="00B97B47" w:rsidRDefault="0084497F" w:rsidP="00B97B47">
            <w:pPr>
              <w:jc w:val="center"/>
              <w:rPr>
                <w:rFonts w:ascii="Arial" w:hAnsi="Arial" w:cs="Arial"/>
              </w:rPr>
            </w:pPr>
            <w:r w:rsidRPr="00B97B47">
              <w:rPr>
                <w:rFonts w:ascii="Arial" w:hAnsi="Arial" w:cs="Arial"/>
              </w:rPr>
              <w:t>Rentabilidad del activo</w:t>
            </w:r>
          </w:p>
        </w:tc>
        <w:tc>
          <w:tcPr>
            <w:tcW w:w="2978" w:type="dxa"/>
            <w:vAlign w:val="center"/>
          </w:tcPr>
          <w:p w14:paraId="284E8060" w14:textId="008C65DE" w:rsidR="0084497F" w:rsidRPr="00B97B47" w:rsidRDefault="0084497F" w:rsidP="00B97B47">
            <w:pPr>
              <w:jc w:val="center"/>
              <w:rPr>
                <w:rFonts w:ascii="Arial" w:eastAsiaTheme="minorEastAsia" w:hAnsi="Arial" w:cs="Arial"/>
                <w:bCs/>
              </w:rPr>
            </w:pPr>
            <m:oMathPara>
              <m:oMath>
                <m:r>
                  <m:rPr>
                    <m:sty m:val="p"/>
                  </m:rPr>
                  <w:rPr>
                    <w:rFonts w:ascii="Cambria Math" w:hAnsi="Cambria Math" w:cs="Arial"/>
                  </w:rPr>
                  <m:t>≥0,02</m:t>
                </m:r>
              </m:oMath>
            </m:oMathPara>
          </w:p>
        </w:tc>
      </w:tr>
    </w:tbl>
    <w:p w14:paraId="45C5FC94" w14:textId="77777777" w:rsidR="00C66AA4" w:rsidRPr="00B97B47" w:rsidRDefault="00C66AA4" w:rsidP="00B97B47">
      <w:pPr>
        <w:spacing w:after="0" w:line="240" w:lineRule="auto"/>
        <w:jc w:val="both"/>
        <w:rPr>
          <w:rFonts w:ascii="Arial" w:hAnsi="Arial" w:cs="Arial"/>
          <w:b/>
          <w:bCs/>
          <w:color w:val="FF0000"/>
          <w:u w:val="single"/>
        </w:rPr>
      </w:pPr>
    </w:p>
    <w:p w14:paraId="0FEFA369" w14:textId="77777777" w:rsidR="00B97B47" w:rsidRPr="00B97B47" w:rsidRDefault="00B97B47" w:rsidP="00B97B47">
      <w:pPr>
        <w:spacing w:after="0" w:line="240" w:lineRule="auto"/>
        <w:jc w:val="both"/>
        <w:rPr>
          <w:rFonts w:ascii="Arial" w:hAnsi="Arial" w:cs="Arial"/>
          <w:b/>
          <w:bCs/>
          <w:color w:val="FF0000"/>
          <w:u w:val="single"/>
        </w:rPr>
      </w:pPr>
    </w:p>
    <w:p w14:paraId="0D145257" w14:textId="66C5FD30" w:rsidR="00B97B47" w:rsidRPr="00B97B47" w:rsidRDefault="00B97B47" w:rsidP="00B97B47">
      <w:pPr>
        <w:spacing w:after="0" w:line="240" w:lineRule="auto"/>
        <w:jc w:val="both"/>
        <w:rPr>
          <w:rFonts w:ascii="Arial" w:hAnsi="Arial" w:cs="Arial"/>
          <w:b/>
          <w:bCs/>
          <w:color w:val="FF0000"/>
          <w:u w:val="single"/>
        </w:rPr>
      </w:pPr>
      <w:r w:rsidRPr="00B97B47">
        <w:rPr>
          <w:rFonts w:ascii="Arial" w:hAnsi="Arial" w:cs="Arial"/>
          <w:bCs/>
          <w:color w:val="FF0000"/>
          <w:lang w:val="es-419"/>
        </w:rPr>
        <w:t xml:space="preserve">Lo anterior teniendo en cuenta que el Proponente persona natural o jurídica que acredite la condición de </w:t>
      </w:r>
      <w:proofErr w:type="spellStart"/>
      <w:r w:rsidRPr="00B97B47">
        <w:rPr>
          <w:rFonts w:ascii="Arial" w:hAnsi="Arial" w:cs="Arial"/>
          <w:bCs/>
          <w:color w:val="FF0000"/>
          <w:lang w:val="es-419"/>
        </w:rPr>
        <w:t>Mipyme</w:t>
      </w:r>
      <w:proofErr w:type="spellEnd"/>
      <w:r w:rsidRPr="00B97B47">
        <w:rPr>
          <w:rFonts w:ascii="Arial" w:hAnsi="Arial" w:cs="Arial"/>
          <w:bCs/>
          <w:color w:val="FF0000"/>
          <w:lang w:val="es-419"/>
        </w:rPr>
        <w:t xml:space="preserve"> de conformidad con lo previsto en el artículo 2.2.1.2.4.2.4. del Decreto 1082 de 2015, en concordancia con el parágrafo del artículo 2.2.1.13.2.4 del Decreto 1074 de 2015, </w:t>
      </w:r>
      <w:r w:rsidRPr="00B97B47">
        <w:rPr>
          <w:rStyle w:val="Textoennegrita"/>
          <w:rFonts w:ascii="Arial" w:hAnsi="Arial" w:cs="Arial"/>
          <w:b w:val="0"/>
          <w:bCs w:val="0"/>
          <w:color w:val="FF0000"/>
          <w:shd w:val="clear" w:color="auto" w:fill="FFFFFF"/>
        </w:rPr>
        <w:t>ARTÍCULOS 2.2.1.2.4.2.15. y 2.2.1.2.4.2.18.</w:t>
      </w:r>
      <w:r w:rsidRPr="00B97B47">
        <w:rPr>
          <w:rStyle w:val="Textoennegrita"/>
          <w:rFonts w:ascii="Arial" w:hAnsi="Arial" w:cs="Arial"/>
          <w:color w:val="FF0000"/>
          <w:shd w:val="clear" w:color="auto" w:fill="FFFFFF"/>
        </w:rPr>
        <w:t xml:space="preserve"> </w:t>
      </w:r>
      <w:r w:rsidRPr="00B97B47">
        <w:rPr>
          <w:rFonts w:ascii="Arial" w:hAnsi="Arial" w:cs="Arial"/>
          <w:color w:val="FF0000"/>
          <w:shd w:val="clear" w:color="auto" w:fill="FFFFFF"/>
        </w:rPr>
        <w:t>del Decreto 1860 de 2021.</w:t>
      </w:r>
    </w:p>
    <w:sectPr w:rsidR="00B97B47" w:rsidRPr="00B97B47" w:rsidSect="00CC3C5F">
      <w:pgSz w:w="12240" w:h="15840" w:code="1"/>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A97"/>
    <w:rsid w:val="00431976"/>
    <w:rsid w:val="0084497F"/>
    <w:rsid w:val="00867AC7"/>
    <w:rsid w:val="008D74DE"/>
    <w:rsid w:val="00A0256F"/>
    <w:rsid w:val="00AC4A89"/>
    <w:rsid w:val="00B61533"/>
    <w:rsid w:val="00B97B47"/>
    <w:rsid w:val="00C66AA4"/>
    <w:rsid w:val="00CC3C5F"/>
    <w:rsid w:val="00DF3CD1"/>
    <w:rsid w:val="00E96A8B"/>
    <w:rsid w:val="00E97CA5"/>
    <w:rsid w:val="00FC2A9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E2C22"/>
  <w15:chartTrackingRefBased/>
  <w15:docId w15:val="{1B693201-E9DF-4695-ACF1-8ACB5FFFA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link w:val="Ttulo2Car"/>
    <w:uiPriority w:val="9"/>
    <w:qFormat/>
    <w:rsid w:val="0084497F"/>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es-CO"/>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aconcuadrcula1">
    <w:name w:val="Tabla con cuadrícula1"/>
    <w:basedOn w:val="Tablanormal"/>
    <w:next w:val="Tablaconcuadrcula"/>
    <w:uiPriority w:val="59"/>
    <w:rsid w:val="00FC2A9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FC2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ennegrita">
    <w:name w:val="Strong"/>
    <w:basedOn w:val="Fuentedeprrafopredeter"/>
    <w:uiPriority w:val="22"/>
    <w:qFormat/>
    <w:rsid w:val="00FC2A97"/>
    <w:rPr>
      <w:b/>
      <w:bCs/>
    </w:rPr>
  </w:style>
  <w:style w:type="character" w:styleId="Hipervnculo">
    <w:name w:val="Hyperlink"/>
    <w:basedOn w:val="Fuentedeprrafopredeter"/>
    <w:uiPriority w:val="99"/>
    <w:semiHidden/>
    <w:unhideWhenUsed/>
    <w:rsid w:val="00FC2A97"/>
    <w:rPr>
      <w:color w:val="0000FF"/>
      <w:u w:val="single"/>
    </w:rPr>
  </w:style>
  <w:style w:type="character" w:customStyle="1" w:styleId="Ttulo2Car">
    <w:name w:val="Título 2 Car"/>
    <w:basedOn w:val="Fuentedeprrafopredeter"/>
    <w:link w:val="Ttulo2"/>
    <w:uiPriority w:val="9"/>
    <w:rsid w:val="0084497F"/>
    <w:rPr>
      <w:rFonts w:ascii="Times New Roman" w:eastAsia="Times New Roman" w:hAnsi="Times New Roman" w:cs="Times New Roman"/>
      <w:b/>
      <w:bCs/>
      <w:kern w:val="0"/>
      <w:sz w:val="36"/>
      <w:szCs w:val="36"/>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846141">
      <w:bodyDiv w:val="1"/>
      <w:marLeft w:val="0"/>
      <w:marRight w:val="0"/>
      <w:marTop w:val="0"/>
      <w:marBottom w:val="0"/>
      <w:divBdr>
        <w:top w:val="none" w:sz="0" w:space="0" w:color="auto"/>
        <w:left w:val="none" w:sz="0" w:space="0" w:color="auto"/>
        <w:bottom w:val="none" w:sz="0" w:space="0" w:color="auto"/>
        <w:right w:val="none" w:sz="0" w:space="0" w:color="auto"/>
      </w:divBdr>
    </w:div>
    <w:div w:id="1195775848">
      <w:bodyDiv w:val="1"/>
      <w:marLeft w:val="0"/>
      <w:marRight w:val="0"/>
      <w:marTop w:val="0"/>
      <w:marBottom w:val="0"/>
      <w:divBdr>
        <w:top w:val="none" w:sz="0" w:space="0" w:color="auto"/>
        <w:left w:val="none" w:sz="0" w:space="0" w:color="auto"/>
        <w:bottom w:val="none" w:sz="0" w:space="0" w:color="auto"/>
        <w:right w:val="none" w:sz="0" w:space="0" w:color="auto"/>
      </w:divBdr>
    </w:div>
    <w:div w:id="181340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caldiabogota.gov.co/sisjur/normas/Norma1.jsp?dt=S&amp;i=71552" TargetMode="External"/><Relationship Id="rId3" Type="http://schemas.openxmlformats.org/officeDocument/2006/relationships/webSettings" Target="webSettings.xml"/><Relationship Id="rId7" Type="http://schemas.openxmlformats.org/officeDocument/2006/relationships/hyperlink" Target="https://www.alcaldiabogota.gov.co/sisjur/normas/Norma1.jsp?dt=S&amp;i=2567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lcaldiabogota.gov.co/sisjur/normas/Norma1.jsp?dt=S&amp;i=25678" TargetMode="External"/><Relationship Id="rId5" Type="http://schemas.openxmlformats.org/officeDocument/2006/relationships/hyperlink" Target="https://www.alcaldiabogota.gov.co/sisjur/normas/Norma1.jsp?dt=S&amp;i=25678" TargetMode="External"/><Relationship Id="rId10" Type="http://schemas.openxmlformats.org/officeDocument/2006/relationships/theme" Target="theme/theme1.xml"/><Relationship Id="rId4" Type="http://schemas.openxmlformats.org/officeDocument/2006/relationships/hyperlink" Target="https://www.alcaldiabogota.gov.co/sisjur/normas/Norma1.jsp?dt=S&amp;i=304" TargetMode="Externa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977</Words>
  <Characters>5379</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Licitaciones</dc:creator>
  <cp:keywords/>
  <dc:description/>
  <cp:lastModifiedBy>Licitaciones</cp:lastModifiedBy>
  <cp:revision>7</cp:revision>
  <dcterms:created xsi:type="dcterms:W3CDTF">2023-06-29T16:48:00Z</dcterms:created>
  <dcterms:modified xsi:type="dcterms:W3CDTF">2023-06-29T17:56:00Z</dcterms:modified>
</cp:coreProperties>
</file>